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CA2" w:rsidRDefault="00C50CA2">
      <w:pPr>
        <w:pStyle w:val="Otsikko1"/>
        <w:spacing w:before="0" w:after="0"/>
        <w:ind w:left="568"/>
        <w:rPr>
          <w:bCs w:val="0"/>
          <w:kern w:val="0"/>
          <w:szCs w:val="24"/>
          <w:lang w:val="en-US"/>
        </w:rPr>
      </w:pPr>
      <w:r>
        <w:rPr>
          <w:bCs w:val="0"/>
          <w:kern w:val="0"/>
          <w:szCs w:val="24"/>
          <w:lang w:val="en-US"/>
        </w:rPr>
        <w:t xml:space="preserve">FINLAND'S REPORT UNDER DIRECTIVE 2001/81/EC </w:t>
      </w:r>
    </w:p>
    <w:p w:rsidR="00C50CA2" w:rsidRDefault="00C50CA2">
      <w:pPr>
        <w:pStyle w:val="Otsikko1"/>
        <w:spacing w:before="0" w:after="0"/>
        <w:ind w:left="568"/>
        <w:rPr>
          <w:lang w:val="en-US"/>
        </w:rPr>
      </w:pPr>
      <w:r>
        <w:rPr>
          <w:lang w:val="en-US"/>
        </w:rPr>
        <w:t xml:space="preserve">NATIONAL EMISSION CEILINGS  </w:t>
      </w:r>
    </w:p>
    <w:p w:rsidR="00C50CA2" w:rsidRDefault="00C50CA2">
      <w:pPr>
        <w:rPr>
          <w:rFonts w:ascii="Arial" w:hAnsi="Arial" w:cs="Arial"/>
          <w:b/>
          <w:sz w:val="32"/>
          <w:lang w:val="en-US"/>
        </w:rPr>
      </w:pPr>
    </w:p>
    <w:p w:rsidR="00C50CA2" w:rsidRDefault="00C50CA2">
      <w:pPr>
        <w:rPr>
          <w:rFonts w:ascii="Arial" w:hAnsi="Arial" w:cs="Arial"/>
          <w:b/>
          <w:sz w:val="32"/>
          <w:lang w:val="en-US"/>
        </w:rPr>
      </w:pPr>
    </w:p>
    <w:p w:rsidR="00C50CA2" w:rsidRDefault="00C50CA2">
      <w:pPr>
        <w:pStyle w:val="Otsikko3"/>
        <w:spacing w:before="0" w:after="0"/>
        <w:ind w:left="567"/>
        <w:rPr>
          <w:sz w:val="22"/>
          <w:szCs w:val="16"/>
          <w:lang w:val="en-US"/>
        </w:rPr>
      </w:pPr>
      <w:r>
        <w:rPr>
          <w:sz w:val="22"/>
          <w:szCs w:val="16"/>
          <w:lang w:val="en-US"/>
        </w:rPr>
        <w:t xml:space="preserve">COUNTRY: </w:t>
      </w:r>
      <w:r>
        <w:rPr>
          <w:sz w:val="22"/>
          <w:szCs w:val="16"/>
          <w:lang w:val="en-US"/>
        </w:rPr>
        <w:tab/>
      </w:r>
      <w:r>
        <w:rPr>
          <w:sz w:val="22"/>
          <w:szCs w:val="16"/>
          <w:lang w:val="en-US"/>
        </w:rPr>
        <w:tab/>
      </w:r>
      <w:r>
        <w:rPr>
          <w:sz w:val="22"/>
          <w:szCs w:val="16"/>
          <w:lang w:val="en-US"/>
        </w:rPr>
        <w:tab/>
      </w:r>
      <w:r>
        <w:rPr>
          <w:sz w:val="22"/>
          <w:szCs w:val="16"/>
          <w:lang w:val="en-US"/>
        </w:rPr>
        <w:tab/>
        <w:t>Finland</w:t>
      </w:r>
    </w:p>
    <w:p w:rsidR="00C50CA2" w:rsidRDefault="00C50CA2">
      <w:pPr>
        <w:rPr>
          <w:lang w:val="en-US"/>
        </w:rPr>
      </w:pPr>
    </w:p>
    <w:p w:rsidR="00C50CA2" w:rsidRDefault="00C50CA2">
      <w:pPr>
        <w:ind w:left="567"/>
        <w:rPr>
          <w:rFonts w:ascii="Arial" w:hAnsi="Arial" w:cs="Arial"/>
          <w:b/>
          <w:bCs/>
          <w:sz w:val="22"/>
          <w:szCs w:val="16"/>
          <w:lang w:val="en-US"/>
        </w:rPr>
      </w:pPr>
      <w:r>
        <w:rPr>
          <w:rFonts w:ascii="Arial" w:hAnsi="Arial" w:cs="Arial"/>
          <w:b/>
          <w:bCs/>
          <w:sz w:val="22"/>
          <w:szCs w:val="16"/>
          <w:lang w:val="en-US"/>
        </w:rPr>
        <w:t xml:space="preserve">REPORTING DATE: </w:t>
      </w:r>
      <w:r>
        <w:rPr>
          <w:rFonts w:ascii="Arial" w:hAnsi="Arial" w:cs="Arial"/>
          <w:b/>
          <w:bCs/>
          <w:sz w:val="22"/>
          <w:szCs w:val="16"/>
          <w:lang w:val="en-US"/>
        </w:rPr>
        <w:tab/>
        <w:t xml:space="preserve">December </w:t>
      </w:r>
      <w:r w:rsidR="0063119F">
        <w:rPr>
          <w:rFonts w:ascii="Arial" w:hAnsi="Arial" w:cs="Arial"/>
          <w:b/>
          <w:bCs/>
          <w:sz w:val="22"/>
          <w:szCs w:val="16"/>
          <w:lang w:val="en-US"/>
        </w:rPr>
        <w:t>1</w:t>
      </w:r>
      <w:r w:rsidR="00174ABD">
        <w:rPr>
          <w:rFonts w:ascii="Arial" w:hAnsi="Arial" w:cs="Arial"/>
          <w:b/>
          <w:bCs/>
          <w:sz w:val="22"/>
          <w:szCs w:val="16"/>
          <w:lang w:val="en-US"/>
        </w:rPr>
        <w:t>4</w:t>
      </w:r>
      <w:r>
        <w:rPr>
          <w:rFonts w:ascii="Arial" w:hAnsi="Arial" w:cs="Arial"/>
          <w:b/>
          <w:bCs/>
          <w:sz w:val="22"/>
          <w:szCs w:val="16"/>
          <w:vertAlign w:val="superscript"/>
          <w:lang w:val="en-US"/>
        </w:rPr>
        <w:t>th</w:t>
      </w:r>
      <w:r>
        <w:rPr>
          <w:rFonts w:ascii="Arial" w:hAnsi="Arial" w:cs="Arial"/>
          <w:b/>
          <w:bCs/>
          <w:sz w:val="22"/>
          <w:szCs w:val="16"/>
          <w:lang w:val="en-US"/>
        </w:rPr>
        <w:t xml:space="preserve"> 20</w:t>
      </w:r>
      <w:r w:rsidR="0063119F">
        <w:rPr>
          <w:rFonts w:ascii="Arial" w:hAnsi="Arial" w:cs="Arial"/>
          <w:b/>
          <w:bCs/>
          <w:sz w:val="22"/>
          <w:szCs w:val="16"/>
          <w:lang w:val="en-US"/>
        </w:rPr>
        <w:t>10</w:t>
      </w:r>
    </w:p>
    <w:p w:rsidR="00C50CA2" w:rsidRDefault="00C50CA2">
      <w:pPr>
        <w:rPr>
          <w:rFonts w:ascii="Arial" w:hAnsi="Arial" w:cs="Arial"/>
          <w:b/>
          <w:bCs/>
          <w:szCs w:val="16"/>
          <w:lang w:val="en-US"/>
        </w:rPr>
      </w:pPr>
    </w:p>
    <w:p w:rsidR="00C50CA2" w:rsidRDefault="00C50CA2">
      <w:pPr>
        <w:rPr>
          <w:rFonts w:ascii="Arial" w:hAnsi="Arial" w:cs="Arial"/>
          <w:b/>
          <w:bCs/>
          <w:szCs w:val="16"/>
          <w:lang w:val="en-US"/>
        </w:rPr>
      </w:pPr>
    </w:p>
    <w:p w:rsidR="00C50CA2" w:rsidRPr="0028269A" w:rsidRDefault="00C50CA2">
      <w:pPr>
        <w:ind w:left="567"/>
        <w:rPr>
          <w:rFonts w:ascii="Arial Narrow" w:hAnsi="Arial Narrow" w:cs="Arial"/>
          <w:b/>
          <w:lang w:val="en-US"/>
        </w:rPr>
      </w:pPr>
      <w:r w:rsidRPr="0028269A">
        <w:rPr>
          <w:rFonts w:ascii="Arial Narrow" w:hAnsi="Arial Narrow" w:cs="Arial"/>
          <w:b/>
          <w:u w:val="single"/>
          <w:lang w:val="en-US"/>
        </w:rPr>
        <w:t>Contents of the report</w:t>
      </w:r>
      <w:r w:rsidR="0028269A" w:rsidRPr="0028269A">
        <w:rPr>
          <w:rFonts w:ascii="Arial Narrow" w:hAnsi="Arial Narrow" w:cs="Arial"/>
          <w:b/>
          <w:u w:val="single"/>
          <w:lang w:val="en-US"/>
        </w:rPr>
        <w:t xml:space="preserve"> uploaded to EIONET CDR (</w:t>
      </w:r>
      <w:hyperlink r:id="rId8" w:history="1">
        <w:r w:rsidR="0028269A" w:rsidRPr="0028269A">
          <w:rPr>
            <w:rStyle w:val="Hyperlinkki"/>
            <w:rFonts w:ascii="Arial Narrow" w:hAnsi="Arial Narrow" w:cs="Arial"/>
            <w:b/>
            <w:lang w:val="en-US"/>
          </w:rPr>
          <w:t>http://cdr.eionet.europa.eu</w:t>
        </w:r>
      </w:hyperlink>
      <w:r w:rsidR="0028269A" w:rsidRPr="0028269A">
        <w:rPr>
          <w:rFonts w:ascii="Arial Narrow" w:hAnsi="Arial Narrow" w:cs="Arial"/>
          <w:b/>
          <w:u w:val="single"/>
          <w:lang w:val="en-US"/>
        </w:rPr>
        <w:t xml:space="preserve">) on </w:t>
      </w:r>
      <w:r w:rsidR="0063119F">
        <w:rPr>
          <w:rFonts w:ascii="Arial Narrow" w:hAnsi="Arial Narrow" w:cs="Arial"/>
          <w:b/>
          <w:u w:val="single"/>
          <w:lang w:val="en-US"/>
        </w:rPr>
        <w:t>1</w:t>
      </w:r>
      <w:r w:rsidR="00174ABD">
        <w:rPr>
          <w:rFonts w:ascii="Arial Narrow" w:hAnsi="Arial Narrow" w:cs="Arial"/>
          <w:b/>
          <w:u w:val="single"/>
          <w:lang w:val="en-US"/>
        </w:rPr>
        <w:t>4</w:t>
      </w:r>
      <w:r w:rsidR="00D0614D">
        <w:rPr>
          <w:rFonts w:ascii="Arial Narrow" w:hAnsi="Arial Narrow" w:cs="Arial"/>
          <w:b/>
          <w:u w:val="single"/>
          <w:lang w:val="en-US"/>
        </w:rPr>
        <w:t>.</w:t>
      </w:r>
      <w:r w:rsidR="0028269A" w:rsidRPr="0028269A">
        <w:rPr>
          <w:rFonts w:ascii="Arial Narrow" w:hAnsi="Arial Narrow" w:cs="Arial"/>
          <w:b/>
          <w:u w:val="single"/>
          <w:lang w:val="en-US"/>
        </w:rPr>
        <w:t>12.20</w:t>
      </w:r>
      <w:r w:rsidR="0063119F">
        <w:rPr>
          <w:rFonts w:ascii="Arial Narrow" w:hAnsi="Arial Narrow" w:cs="Arial"/>
          <w:b/>
          <w:u w:val="single"/>
          <w:lang w:val="en-US"/>
        </w:rPr>
        <w:t>10</w:t>
      </w:r>
    </w:p>
    <w:p w:rsidR="00C50CA2" w:rsidRDefault="00C50CA2">
      <w:pPr>
        <w:ind w:left="567"/>
        <w:rPr>
          <w:rFonts w:ascii="Arial" w:hAnsi="Arial" w:cs="Arial"/>
          <w:sz w:val="22"/>
          <w:szCs w:val="16"/>
          <w:lang w:val="en-US"/>
        </w:rPr>
      </w:pPr>
    </w:p>
    <w:p w:rsidR="00C50CA2" w:rsidRPr="00D90EBF" w:rsidRDefault="0028269A">
      <w:pPr>
        <w:pStyle w:val="Otsikko3"/>
        <w:spacing w:before="0" w:after="0"/>
        <w:ind w:left="567"/>
        <w:rPr>
          <w:bCs w:val="0"/>
          <w:i/>
          <w:sz w:val="22"/>
          <w:lang w:val="en-US"/>
        </w:rPr>
      </w:pPr>
      <w:r>
        <w:rPr>
          <w:bCs w:val="0"/>
          <w:i/>
          <w:sz w:val="22"/>
          <w:lang w:val="en-US"/>
        </w:rPr>
        <w:t xml:space="preserve">1  </w:t>
      </w:r>
      <w:r w:rsidR="00D90EBF" w:rsidRPr="00D90EBF">
        <w:rPr>
          <w:bCs w:val="0"/>
          <w:i/>
          <w:sz w:val="22"/>
          <w:lang w:val="en-US"/>
        </w:rPr>
        <w:t>Emission data</w:t>
      </w:r>
    </w:p>
    <w:p w:rsidR="00D90EBF" w:rsidRPr="00D90EBF" w:rsidRDefault="00D90EBF" w:rsidP="00D90EBF">
      <w:pPr>
        <w:rPr>
          <w:lang w:val="en-US"/>
        </w:rPr>
      </w:pPr>
    </w:p>
    <w:p w:rsidR="00C50CA2" w:rsidRDefault="00C50CA2">
      <w:pPr>
        <w:ind w:left="567" w:right="707"/>
        <w:jc w:val="both"/>
        <w:rPr>
          <w:rFonts w:ascii="Arial" w:hAnsi="Arial" w:cs="Arial"/>
          <w:sz w:val="22"/>
          <w:szCs w:val="22"/>
          <w:lang w:val="en-US"/>
        </w:rPr>
      </w:pPr>
      <w:r>
        <w:rPr>
          <w:rFonts w:ascii="Arial" w:hAnsi="Arial" w:cs="Arial"/>
          <w:sz w:val="22"/>
          <w:szCs w:val="22"/>
          <w:lang w:val="en-US"/>
        </w:rPr>
        <w:t>Final emission data for 200</w:t>
      </w:r>
      <w:r w:rsidR="0063119F">
        <w:rPr>
          <w:rFonts w:ascii="Arial" w:hAnsi="Arial" w:cs="Arial"/>
          <w:sz w:val="22"/>
          <w:szCs w:val="22"/>
          <w:lang w:val="en-US"/>
        </w:rPr>
        <w:t>8</w:t>
      </w:r>
      <w:r>
        <w:rPr>
          <w:rFonts w:ascii="Arial" w:hAnsi="Arial" w:cs="Arial"/>
          <w:b/>
          <w:sz w:val="22"/>
          <w:szCs w:val="22"/>
          <w:lang w:val="en-US"/>
        </w:rPr>
        <w:t xml:space="preserve"> </w:t>
      </w:r>
      <w:r>
        <w:rPr>
          <w:rFonts w:ascii="Arial" w:hAnsi="Arial" w:cs="Arial"/>
          <w:sz w:val="22"/>
          <w:szCs w:val="22"/>
          <w:lang w:val="en-US"/>
        </w:rPr>
        <w:t>and preliminary emission data for 200</w:t>
      </w:r>
      <w:r w:rsidR="0063119F">
        <w:rPr>
          <w:rFonts w:ascii="Arial" w:hAnsi="Arial" w:cs="Arial"/>
          <w:sz w:val="22"/>
          <w:szCs w:val="22"/>
          <w:lang w:val="en-US"/>
        </w:rPr>
        <w:t>9</w:t>
      </w:r>
      <w:r>
        <w:rPr>
          <w:rFonts w:ascii="Arial" w:hAnsi="Arial" w:cs="Arial"/>
          <w:b/>
          <w:sz w:val="22"/>
          <w:szCs w:val="22"/>
          <w:lang w:val="en-US"/>
        </w:rPr>
        <w:t xml:space="preserve"> </w:t>
      </w:r>
      <w:r>
        <w:rPr>
          <w:rFonts w:ascii="Arial" w:hAnsi="Arial" w:cs="Arial"/>
          <w:sz w:val="22"/>
          <w:szCs w:val="22"/>
          <w:lang w:val="en-US"/>
        </w:rPr>
        <w:t>under the NEC Directive are provided in the attached reporting tables "</w:t>
      </w:r>
      <w:r w:rsidR="000A6079">
        <w:rPr>
          <w:rFonts w:ascii="Arial" w:hAnsi="Arial" w:cs="Arial"/>
          <w:sz w:val="22"/>
          <w:szCs w:val="22"/>
          <w:u w:val="single"/>
          <w:lang w:val="en-US"/>
        </w:rPr>
        <w:t>FI_NEC</w:t>
      </w:r>
      <w:r w:rsidR="00174ABD">
        <w:rPr>
          <w:rFonts w:ascii="Arial" w:hAnsi="Arial" w:cs="Arial"/>
          <w:sz w:val="22"/>
          <w:szCs w:val="22"/>
          <w:u w:val="single"/>
          <w:lang w:val="en-US"/>
        </w:rPr>
        <w:t>D_1980_2009_10Dec2010</w:t>
      </w:r>
      <w:r>
        <w:rPr>
          <w:rFonts w:ascii="Arial" w:hAnsi="Arial" w:cs="Arial"/>
          <w:sz w:val="22"/>
          <w:szCs w:val="22"/>
          <w:u w:val="single"/>
          <w:lang w:val="en-US"/>
        </w:rPr>
        <w:t>.xls</w:t>
      </w:r>
      <w:r w:rsidR="000A6079">
        <w:rPr>
          <w:rFonts w:ascii="Arial" w:hAnsi="Arial" w:cs="Arial"/>
          <w:sz w:val="22"/>
          <w:szCs w:val="22"/>
          <w:lang w:val="en-US"/>
        </w:rPr>
        <w:t>"</w:t>
      </w:r>
      <w:r w:rsidR="00174ABD">
        <w:rPr>
          <w:rFonts w:ascii="Arial" w:hAnsi="Arial" w:cs="Arial"/>
          <w:sz w:val="22"/>
          <w:szCs w:val="22"/>
          <w:lang w:val="en-US"/>
        </w:rPr>
        <w:t>. Years 2007-2009 are</w:t>
      </w:r>
      <w:r w:rsidR="0028269A">
        <w:rPr>
          <w:rFonts w:ascii="Arial" w:hAnsi="Arial" w:cs="Arial"/>
          <w:sz w:val="22"/>
          <w:szCs w:val="22"/>
          <w:lang w:val="en-US"/>
        </w:rPr>
        <w:t xml:space="preserve"> </w:t>
      </w:r>
      <w:r w:rsidR="000A6079">
        <w:rPr>
          <w:rFonts w:ascii="Arial" w:hAnsi="Arial" w:cs="Arial"/>
          <w:sz w:val="22"/>
          <w:szCs w:val="22"/>
          <w:lang w:val="en-US"/>
        </w:rPr>
        <w:t xml:space="preserve">in </w:t>
      </w:r>
      <w:r>
        <w:rPr>
          <w:rFonts w:ascii="Arial" w:hAnsi="Arial" w:cs="Arial"/>
          <w:sz w:val="22"/>
          <w:szCs w:val="22"/>
          <w:lang w:val="en-US"/>
        </w:rPr>
        <w:t>NFR09</w:t>
      </w:r>
      <w:r w:rsidR="000A6079">
        <w:rPr>
          <w:rFonts w:ascii="Arial" w:hAnsi="Arial" w:cs="Arial"/>
          <w:sz w:val="22"/>
          <w:szCs w:val="22"/>
          <w:lang w:val="en-US"/>
        </w:rPr>
        <w:t xml:space="preserve"> </w:t>
      </w:r>
      <w:r w:rsidR="0028269A">
        <w:rPr>
          <w:rFonts w:ascii="Arial" w:hAnsi="Arial" w:cs="Arial"/>
          <w:sz w:val="22"/>
          <w:szCs w:val="22"/>
          <w:lang w:val="en-US"/>
        </w:rPr>
        <w:t xml:space="preserve">format </w:t>
      </w:r>
      <w:r w:rsidR="000A6079">
        <w:rPr>
          <w:rFonts w:ascii="Arial" w:hAnsi="Arial" w:cs="Arial"/>
          <w:sz w:val="22"/>
          <w:szCs w:val="22"/>
          <w:lang w:val="en-US"/>
        </w:rPr>
        <w:t>(Ve</w:t>
      </w:r>
      <w:r w:rsidR="000A6079">
        <w:rPr>
          <w:rFonts w:ascii="Arial" w:hAnsi="Arial" w:cs="Arial"/>
          <w:sz w:val="22"/>
          <w:szCs w:val="22"/>
          <w:lang w:val="en-US"/>
        </w:rPr>
        <w:t>r</w:t>
      </w:r>
      <w:r w:rsidR="000A6079">
        <w:rPr>
          <w:rFonts w:ascii="Arial" w:hAnsi="Arial" w:cs="Arial"/>
          <w:sz w:val="22"/>
          <w:szCs w:val="22"/>
          <w:lang w:val="en-US"/>
        </w:rPr>
        <w:t xml:space="preserve">sion </w:t>
      </w:r>
      <w:r w:rsidR="000A6079" w:rsidRPr="000A6079">
        <w:rPr>
          <w:rFonts w:ascii="Arial" w:hAnsi="Arial" w:cs="Arial"/>
          <w:sz w:val="22"/>
          <w:szCs w:val="22"/>
          <w:lang w:val="en-US"/>
        </w:rPr>
        <w:t>NFR 2009-1</w:t>
      </w:r>
      <w:r w:rsidR="000A6079">
        <w:rPr>
          <w:rFonts w:ascii="Arial" w:hAnsi="Arial" w:cs="Arial"/>
          <w:sz w:val="22"/>
          <w:szCs w:val="22"/>
          <w:lang w:val="en-US"/>
        </w:rPr>
        <w:t>)</w:t>
      </w:r>
      <w:r w:rsidR="00174ABD">
        <w:rPr>
          <w:rFonts w:ascii="Arial" w:hAnsi="Arial" w:cs="Arial"/>
          <w:sz w:val="22"/>
          <w:szCs w:val="22"/>
          <w:lang w:val="en-US"/>
        </w:rPr>
        <w:t xml:space="preserve"> and e</w:t>
      </w:r>
      <w:r w:rsidR="0028269A">
        <w:rPr>
          <w:rFonts w:ascii="Arial" w:hAnsi="Arial" w:cs="Arial"/>
          <w:sz w:val="22"/>
          <w:szCs w:val="22"/>
          <w:lang w:val="en-US"/>
        </w:rPr>
        <w:t>mission data for the historical years</w:t>
      </w:r>
      <w:r w:rsidR="000A6079">
        <w:rPr>
          <w:rFonts w:ascii="Arial" w:hAnsi="Arial" w:cs="Arial"/>
          <w:sz w:val="22"/>
          <w:szCs w:val="22"/>
          <w:lang w:val="en-US"/>
        </w:rPr>
        <w:t xml:space="preserve"> 1980-200</w:t>
      </w:r>
      <w:r w:rsidR="00174ABD">
        <w:rPr>
          <w:rFonts w:ascii="Arial" w:hAnsi="Arial" w:cs="Arial"/>
          <w:sz w:val="22"/>
          <w:szCs w:val="22"/>
          <w:lang w:val="en-US"/>
        </w:rPr>
        <w:t>6</w:t>
      </w:r>
      <w:r w:rsidR="0028269A">
        <w:rPr>
          <w:rFonts w:ascii="Arial" w:hAnsi="Arial" w:cs="Arial"/>
          <w:sz w:val="22"/>
          <w:szCs w:val="22"/>
          <w:lang w:val="en-US"/>
        </w:rPr>
        <w:t xml:space="preserve"> are included in the same file</w:t>
      </w:r>
      <w:r w:rsidR="000A6079">
        <w:rPr>
          <w:rFonts w:ascii="Arial" w:hAnsi="Arial" w:cs="Arial"/>
          <w:sz w:val="22"/>
          <w:szCs w:val="22"/>
          <w:lang w:val="en-US"/>
        </w:rPr>
        <w:t xml:space="preserve"> in NFR08 </w:t>
      </w:r>
      <w:r w:rsidR="0028269A">
        <w:rPr>
          <w:rFonts w:ascii="Arial" w:hAnsi="Arial" w:cs="Arial"/>
          <w:sz w:val="22"/>
          <w:szCs w:val="22"/>
          <w:lang w:val="en-US"/>
        </w:rPr>
        <w:t xml:space="preserve">format </w:t>
      </w:r>
      <w:r w:rsidR="000A6079">
        <w:rPr>
          <w:rFonts w:ascii="Arial" w:hAnsi="Arial" w:cs="Arial"/>
          <w:sz w:val="22"/>
          <w:szCs w:val="22"/>
          <w:lang w:val="en-US"/>
        </w:rPr>
        <w:t>(</w:t>
      </w:r>
      <w:r w:rsidR="000A6079" w:rsidRPr="000A6079">
        <w:rPr>
          <w:rFonts w:ascii="Arial" w:hAnsi="Arial" w:cs="Arial"/>
          <w:sz w:val="22"/>
          <w:szCs w:val="22"/>
          <w:lang w:val="en-US"/>
        </w:rPr>
        <w:t>Version 2004-1</w:t>
      </w:r>
      <w:r w:rsidR="0028269A">
        <w:rPr>
          <w:rFonts w:ascii="Arial" w:hAnsi="Arial" w:cs="Arial"/>
          <w:sz w:val="22"/>
          <w:szCs w:val="22"/>
          <w:lang w:val="en-US"/>
        </w:rPr>
        <w:t>)</w:t>
      </w:r>
      <w:r>
        <w:rPr>
          <w:rFonts w:ascii="Arial" w:hAnsi="Arial" w:cs="Arial"/>
          <w:sz w:val="22"/>
          <w:szCs w:val="22"/>
          <w:lang w:val="en-US"/>
        </w:rPr>
        <w:t xml:space="preserve">. </w:t>
      </w:r>
    </w:p>
    <w:p w:rsidR="00C50CA2" w:rsidRDefault="00C50CA2">
      <w:pPr>
        <w:ind w:left="567" w:right="707"/>
        <w:jc w:val="both"/>
        <w:rPr>
          <w:rFonts w:ascii="Arial" w:hAnsi="Arial" w:cs="Arial"/>
          <w:sz w:val="22"/>
          <w:szCs w:val="22"/>
          <w:lang w:val="en-US"/>
        </w:rPr>
      </w:pPr>
    </w:p>
    <w:p w:rsidR="00C50CA2" w:rsidRDefault="000A6079">
      <w:pPr>
        <w:ind w:left="567" w:right="707"/>
        <w:jc w:val="both"/>
        <w:rPr>
          <w:rFonts w:ascii="Arial" w:hAnsi="Arial" w:cs="Arial"/>
          <w:sz w:val="22"/>
          <w:szCs w:val="22"/>
          <w:lang w:val="en-US"/>
        </w:rPr>
      </w:pPr>
      <w:r>
        <w:rPr>
          <w:rFonts w:ascii="Arial" w:hAnsi="Arial" w:cs="Arial"/>
          <w:sz w:val="22"/>
          <w:szCs w:val="22"/>
          <w:lang w:val="en-US"/>
        </w:rPr>
        <w:t>Emissions</w:t>
      </w:r>
      <w:r w:rsidR="00C50CA2">
        <w:rPr>
          <w:rFonts w:ascii="Arial" w:hAnsi="Arial" w:cs="Arial"/>
          <w:sz w:val="22"/>
          <w:szCs w:val="22"/>
          <w:lang w:val="en-US"/>
        </w:rPr>
        <w:t xml:space="preserve"> for the years 1980-200</w:t>
      </w:r>
      <w:r w:rsidR="00174ABD">
        <w:rPr>
          <w:rFonts w:ascii="Arial" w:hAnsi="Arial" w:cs="Arial"/>
          <w:sz w:val="22"/>
          <w:szCs w:val="22"/>
          <w:lang w:val="en-US"/>
        </w:rPr>
        <w:t>6</w:t>
      </w:r>
      <w:r w:rsidR="00C50CA2">
        <w:rPr>
          <w:rFonts w:ascii="Arial" w:hAnsi="Arial" w:cs="Arial"/>
          <w:sz w:val="22"/>
          <w:szCs w:val="22"/>
          <w:lang w:val="en-US"/>
        </w:rPr>
        <w:t xml:space="preserve"> ha</w:t>
      </w:r>
      <w:r>
        <w:rPr>
          <w:rFonts w:ascii="Arial" w:hAnsi="Arial" w:cs="Arial"/>
          <w:sz w:val="22"/>
          <w:szCs w:val="22"/>
          <w:lang w:val="en-US"/>
        </w:rPr>
        <w:t>ve</w:t>
      </w:r>
      <w:r w:rsidR="00C50CA2">
        <w:rPr>
          <w:rFonts w:ascii="Arial" w:hAnsi="Arial" w:cs="Arial"/>
          <w:sz w:val="22"/>
          <w:szCs w:val="22"/>
          <w:lang w:val="en-US"/>
        </w:rPr>
        <w:t xml:space="preserve"> not yet been recalculated. Emission data for the historic years 1980-1999 ha</w:t>
      </w:r>
      <w:r w:rsidR="0028269A">
        <w:rPr>
          <w:rFonts w:ascii="Arial" w:hAnsi="Arial" w:cs="Arial"/>
          <w:sz w:val="22"/>
          <w:szCs w:val="22"/>
          <w:lang w:val="en-US"/>
        </w:rPr>
        <w:t>ve</w:t>
      </w:r>
      <w:r w:rsidR="00C50CA2">
        <w:rPr>
          <w:rFonts w:ascii="Arial" w:hAnsi="Arial" w:cs="Arial"/>
          <w:sz w:val="22"/>
          <w:szCs w:val="22"/>
          <w:lang w:val="en-US"/>
        </w:rPr>
        <w:t xml:space="preserve"> been reported year by year in its time to the CLRTAP Secretariat in SNAP format. After the revision of the reporting guidelines, data for each current year (year by year) have been reported in NFR format</w:t>
      </w:r>
      <w:r w:rsidR="0028269A">
        <w:rPr>
          <w:rFonts w:ascii="Arial" w:hAnsi="Arial" w:cs="Arial"/>
          <w:sz w:val="22"/>
          <w:szCs w:val="22"/>
          <w:lang w:val="en-US"/>
        </w:rPr>
        <w:t xml:space="preserve"> (years 2000-200</w:t>
      </w:r>
      <w:r w:rsidR="00174ABD">
        <w:rPr>
          <w:rFonts w:ascii="Arial" w:hAnsi="Arial" w:cs="Arial"/>
          <w:sz w:val="22"/>
          <w:szCs w:val="22"/>
          <w:lang w:val="en-US"/>
        </w:rPr>
        <w:t>6</w:t>
      </w:r>
      <w:r w:rsidR="0028269A">
        <w:rPr>
          <w:rFonts w:ascii="Arial" w:hAnsi="Arial" w:cs="Arial"/>
          <w:sz w:val="22"/>
          <w:szCs w:val="22"/>
          <w:lang w:val="en-US"/>
        </w:rPr>
        <w:t xml:space="preserve"> are in NFR08 format in the attached reporting table). </w:t>
      </w:r>
      <w:r w:rsidR="00C50CA2">
        <w:rPr>
          <w:rFonts w:ascii="Arial" w:hAnsi="Arial" w:cs="Arial"/>
          <w:sz w:val="22"/>
          <w:szCs w:val="22"/>
          <w:lang w:val="en-US"/>
        </w:rPr>
        <w:t>Finland is currently recalculating the time series 1990-200</w:t>
      </w:r>
      <w:r w:rsidR="0063119F">
        <w:rPr>
          <w:rFonts w:ascii="Arial" w:hAnsi="Arial" w:cs="Arial"/>
          <w:sz w:val="22"/>
          <w:szCs w:val="22"/>
          <w:lang w:val="en-US"/>
        </w:rPr>
        <w:t>8</w:t>
      </w:r>
      <w:r w:rsidR="00C50CA2">
        <w:rPr>
          <w:rFonts w:ascii="Arial" w:hAnsi="Arial" w:cs="Arial"/>
          <w:sz w:val="22"/>
          <w:szCs w:val="22"/>
          <w:lang w:val="en-US"/>
        </w:rPr>
        <w:t xml:space="preserve"> and anticipates </w:t>
      </w:r>
      <w:r>
        <w:rPr>
          <w:rFonts w:ascii="Arial" w:hAnsi="Arial" w:cs="Arial"/>
          <w:sz w:val="22"/>
          <w:szCs w:val="22"/>
          <w:lang w:val="en-US"/>
        </w:rPr>
        <w:t>reporting of</w:t>
      </w:r>
      <w:r w:rsidR="00C50CA2">
        <w:rPr>
          <w:rFonts w:ascii="Arial" w:hAnsi="Arial" w:cs="Arial"/>
          <w:sz w:val="22"/>
          <w:szCs w:val="22"/>
          <w:lang w:val="en-US"/>
        </w:rPr>
        <w:t xml:space="preserve"> these data to the UNECE CLRTAP Secretariat and to the EEA in 201</w:t>
      </w:r>
      <w:r w:rsidR="0063119F">
        <w:rPr>
          <w:rFonts w:ascii="Arial" w:hAnsi="Arial" w:cs="Arial"/>
          <w:sz w:val="22"/>
          <w:szCs w:val="22"/>
          <w:lang w:val="en-US"/>
        </w:rPr>
        <w:t>2</w:t>
      </w:r>
      <w:r w:rsidR="00C50CA2">
        <w:rPr>
          <w:rFonts w:ascii="Arial" w:hAnsi="Arial" w:cs="Arial"/>
          <w:sz w:val="22"/>
          <w:szCs w:val="22"/>
          <w:lang w:val="en-US"/>
        </w:rPr>
        <w:t xml:space="preserve">. </w:t>
      </w:r>
      <w:r>
        <w:rPr>
          <w:rFonts w:ascii="Arial" w:hAnsi="Arial" w:cs="Arial"/>
          <w:sz w:val="22"/>
          <w:szCs w:val="22"/>
          <w:lang w:val="en-US"/>
        </w:rPr>
        <w:t xml:space="preserve">As the data for the earlier years is </w:t>
      </w:r>
      <w:r w:rsidR="00C50CA2">
        <w:rPr>
          <w:rFonts w:ascii="Arial" w:hAnsi="Arial" w:cs="Arial"/>
          <w:sz w:val="22"/>
          <w:szCs w:val="22"/>
          <w:lang w:val="en-US"/>
        </w:rPr>
        <w:t xml:space="preserve">in SNAP format, it </w:t>
      </w:r>
      <w:r>
        <w:rPr>
          <w:rFonts w:ascii="Arial" w:hAnsi="Arial" w:cs="Arial"/>
          <w:sz w:val="22"/>
          <w:szCs w:val="22"/>
          <w:lang w:val="en-US"/>
        </w:rPr>
        <w:t xml:space="preserve">is </w:t>
      </w:r>
      <w:r w:rsidR="00C50CA2">
        <w:rPr>
          <w:rFonts w:ascii="Arial" w:hAnsi="Arial" w:cs="Arial"/>
          <w:sz w:val="22"/>
          <w:szCs w:val="22"/>
          <w:lang w:val="en-US"/>
        </w:rPr>
        <w:t xml:space="preserve">possible to report only the main sector categories or only </w:t>
      </w:r>
      <w:r>
        <w:rPr>
          <w:rFonts w:ascii="Arial" w:hAnsi="Arial" w:cs="Arial"/>
          <w:sz w:val="22"/>
          <w:szCs w:val="22"/>
          <w:lang w:val="en-US"/>
        </w:rPr>
        <w:t xml:space="preserve">the </w:t>
      </w:r>
      <w:r w:rsidR="00C50CA2">
        <w:rPr>
          <w:rFonts w:ascii="Arial" w:hAnsi="Arial" w:cs="Arial"/>
          <w:sz w:val="22"/>
          <w:szCs w:val="22"/>
          <w:lang w:val="en-US"/>
        </w:rPr>
        <w:t>national totals in the NFR format</w:t>
      </w:r>
      <w:r w:rsidR="00F22313">
        <w:rPr>
          <w:rFonts w:ascii="Arial" w:hAnsi="Arial" w:cs="Arial"/>
          <w:sz w:val="22"/>
          <w:szCs w:val="22"/>
          <w:lang w:val="en-US"/>
        </w:rPr>
        <w:t xml:space="preserve"> for the older years</w:t>
      </w:r>
      <w:r w:rsidR="00C50CA2">
        <w:rPr>
          <w:rFonts w:ascii="Arial" w:hAnsi="Arial" w:cs="Arial"/>
          <w:sz w:val="22"/>
          <w:szCs w:val="22"/>
          <w:lang w:val="en-US"/>
        </w:rPr>
        <w:t xml:space="preserve">. The recalculation </w:t>
      </w:r>
      <w:r w:rsidR="00F22313">
        <w:rPr>
          <w:rFonts w:ascii="Arial" w:hAnsi="Arial" w:cs="Arial"/>
          <w:sz w:val="22"/>
          <w:szCs w:val="22"/>
          <w:lang w:val="en-US"/>
        </w:rPr>
        <w:t xml:space="preserve">of time series </w:t>
      </w:r>
      <w:r w:rsidR="00C50CA2">
        <w:rPr>
          <w:rFonts w:ascii="Arial" w:hAnsi="Arial" w:cs="Arial"/>
          <w:sz w:val="22"/>
          <w:szCs w:val="22"/>
          <w:lang w:val="en-US"/>
        </w:rPr>
        <w:t xml:space="preserve">may lead to minor changes also in the </w:t>
      </w:r>
      <w:r w:rsidR="00F22313">
        <w:rPr>
          <w:rFonts w:ascii="Arial" w:hAnsi="Arial" w:cs="Arial"/>
          <w:sz w:val="22"/>
          <w:szCs w:val="22"/>
          <w:lang w:val="en-US"/>
        </w:rPr>
        <w:t>data for 200</w:t>
      </w:r>
      <w:r w:rsidR="00174ABD">
        <w:rPr>
          <w:rFonts w:ascii="Arial" w:hAnsi="Arial" w:cs="Arial"/>
          <w:sz w:val="22"/>
          <w:szCs w:val="22"/>
          <w:lang w:val="en-US"/>
        </w:rPr>
        <w:t>7-</w:t>
      </w:r>
      <w:r w:rsidR="00F22313">
        <w:rPr>
          <w:rFonts w:ascii="Arial" w:hAnsi="Arial" w:cs="Arial"/>
          <w:sz w:val="22"/>
          <w:szCs w:val="22"/>
          <w:lang w:val="en-US"/>
        </w:rPr>
        <w:t>200</w:t>
      </w:r>
      <w:r w:rsidR="0063119F">
        <w:rPr>
          <w:rFonts w:ascii="Arial" w:hAnsi="Arial" w:cs="Arial"/>
          <w:sz w:val="22"/>
          <w:szCs w:val="22"/>
          <w:lang w:val="en-US"/>
        </w:rPr>
        <w:t>9</w:t>
      </w:r>
      <w:r w:rsidR="00C50CA2">
        <w:rPr>
          <w:rFonts w:ascii="Arial" w:hAnsi="Arial" w:cs="Arial"/>
          <w:sz w:val="22"/>
          <w:szCs w:val="22"/>
          <w:lang w:val="en-US"/>
        </w:rPr>
        <w:t xml:space="preserve">. </w:t>
      </w:r>
    </w:p>
    <w:p w:rsidR="00AA218C" w:rsidRDefault="00AA218C">
      <w:pPr>
        <w:ind w:left="567" w:right="707"/>
        <w:jc w:val="both"/>
        <w:rPr>
          <w:rFonts w:ascii="Arial" w:hAnsi="Arial" w:cs="Arial"/>
          <w:sz w:val="22"/>
          <w:szCs w:val="22"/>
          <w:lang w:val="en-US"/>
        </w:rPr>
      </w:pPr>
    </w:p>
    <w:p w:rsidR="00AA218C" w:rsidRDefault="00AA218C" w:rsidP="00AA218C">
      <w:pPr>
        <w:ind w:left="567" w:right="707"/>
        <w:jc w:val="both"/>
        <w:rPr>
          <w:rFonts w:ascii="Arial" w:hAnsi="Arial" w:cs="Arial"/>
          <w:sz w:val="22"/>
          <w:szCs w:val="22"/>
          <w:lang w:val="en-US"/>
        </w:rPr>
      </w:pPr>
      <w:r>
        <w:rPr>
          <w:rFonts w:ascii="Arial" w:hAnsi="Arial" w:cs="Arial"/>
          <w:sz w:val="22"/>
          <w:szCs w:val="22"/>
          <w:lang w:val="en-US"/>
        </w:rPr>
        <w:t>The reported national emissions include emissions from the autonomic territory of Åland (Ahvenanmaa).</w:t>
      </w:r>
    </w:p>
    <w:p w:rsidR="00AA218C" w:rsidRPr="00AA218C" w:rsidRDefault="00AA218C" w:rsidP="00AA218C">
      <w:pPr>
        <w:pStyle w:val="Otsikko3"/>
        <w:numPr>
          <w:ilvl w:val="2"/>
          <w:numId w:val="0"/>
        </w:numPr>
        <w:spacing w:before="480" w:after="360"/>
        <w:ind w:left="567" w:right="707"/>
        <w:jc w:val="both"/>
        <w:rPr>
          <w:b w:val="0"/>
          <w:sz w:val="22"/>
          <w:szCs w:val="22"/>
          <w:u w:val="single"/>
          <w:lang w:val="en-US"/>
        </w:rPr>
      </w:pPr>
      <w:bookmarkStart w:id="0" w:name="_Toc256157585"/>
      <w:r>
        <w:rPr>
          <w:b w:val="0"/>
          <w:sz w:val="22"/>
          <w:szCs w:val="22"/>
          <w:u w:val="single"/>
          <w:lang w:val="en-US"/>
        </w:rPr>
        <w:t>D</w:t>
      </w:r>
      <w:r w:rsidRPr="00AA218C">
        <w:rPr>
          <w:b w:val="0"/>
          <w:sz w:val="22"/>
          <w:szCs w:val="22"/>
          <w:u w:val="single"/>
          <w:lang w:val="en-US"/>
        </w:rPr>
        <w:t>ifferences between the emission inventory reports under the UNECE CLRTAP and the EU NECD</w:t>
      </w:r>
      <w:bookmarkEnd w:id="0"/>
      <w:r w:rsidRPr="00AA218C">
        <w:rPr>
          <w:b w:val="0"/>
          <w:sz w:val="22"/>
          <w:szCs w:val="22"/>
          <w:u w:val="single"/>
          <w:lang w:val="en-US"/>
        </w:rPr>
        <w:t xml:space="preserve"> </w:t>
      </w:r>
      <w:r>
        <w:rPr>
          <w:b w:val="0"/>
          <w:sz w:val="22"/>
          <w:szCs w:val="22"/>
          <w:u w:val="single"/>
          <w:lang w:val="en-US"/>
        </w:rPr>
        <w:t xml:space="preserve">(see also Chapter 2.4.4 in the IIR) </w:t>
      </w:r>
    </w:p>
    <w:p w:rsidR="00AA218C" w:rsidRDefault="00AA218C" w:rsidP="00AA218C">
      <w:pPr>
        <w:ind w:left="567" w:right="707"/>
        <w:jc w:val="both"/>
        <w:rPr>
          <w:rFonts w:ascii="Arial" w:hAnsi="Arial" w:cs="Arial"/>
          <w:sz w:val="22"/>
          <w:szCs w:val="22"/>
        </w:rPr>
      </w:pPr>
      <w:r w:rsidRPr="00AA218C">
        <w:rPr>
          <w:rFonts w:ascii="Arial" w:hAnsi="Arial" w:cs="Arial"/>
          <w:sz w:val="22"/>
          <w:szCs w:val="22"/>
          <w:lang w:val="en-US"/>
        </w:rPr>
        <w:t>The Finnish NECD report (deadline 31</w:t>
      </w:r>
      <w:r w:rsidRPr="00AA218C">
        <w:rPr>
          <w:rFonts w:ascii="Arial" w:hAnsi="Arial" w:cs="Arial"/>
          <w:sz w:val="22"/>
          <w:szCs w:val="22"/>
          <w:vertAlign w:val="superscript"/>
          <w:lang w:val="en-US"/>
        </w:rPr>
        <w:t>st</w:t>
      </w:r>
      <w:r w:rsidRPr="00AA218C">
        <w:rPr>
          <w:rFonts w:ascii="Arial" w:hAnsi="Arial" w:cs="Arial"/>
          <w:sz w:val="22"/>
          <w:szCs w:val="22"/>
          <w:lang w:val="en-US"/>
        </w:rPr>
        <w:t xml:space="preserve"> December annually) contains the corrected estimates for the year N (e.g. 2008), the emissions of which have been reported u</w:t>
      </w:r>
      <w:r w:rsidRPr="00AA218C">
        <w:rPr>
          <w:rFonts w:ascii="Arial" w:hAnsi="Arial" w:cs="Arial"/>
          <w:sz w:val="22"/>
          <w:szCs w:val="22"/>
          <w:lang w:val="en-US"/>
        </w:rPr>
        <w:t>n</w:t>
      </w:r>
      <w:r w:rsidRPr="00AA218C">
        <w:rPr>
          <w:rFonts w:ascii="Arial" w:hAnsi="Arial" w:cs="Arial"/>
          <w:sz w:val="22"/>
          <w:szCs w:val="22"/>
          <w:lang w:val="en-US"/>
        </w:rPr>
        <w:t>der the UNECE CLRTAP by 15</w:t>
      </w:r>
      <w:r w:rsidRPr="00AA218C">
        <w:rPr>
          <w:rFonts w:ascii="Arial" w:hAnsi="Arial" w:cs="Arial"/>
          <w:sz w:val="22"/>
          <w:szCs w:val="22"/>
          <w:vertAlign w:val="superscript"/>
          <w:lang w:val="en-US"/>
        </w:rPr>
        <w:t>th</w:t>
      </w:r>
      <w:r w:rsidRPr="00AA218C">
        <w:rPr>
          <w:rFonts w:ascii="Arial" w:hAnsi="Arial" w:cs="Arial"/>
          <w:sz w:val="22"/>
          <w:szCs w:val="22"/>
          <w:lang w:val="en-US"/>
        </w:rPr>
        <w:t xml:space="preserve"> February the same year.  NECD "Preliminary data" for a given year N (e.g. 2008) submitted by 31</w:t>
      </w:r>
      <w:r w:rsidRPr="00AA218C">
        <w:rPr>
          <w:rFonts w:ascii="Arial" w:hAnsi="Arial" w:cs="Arial"/>
          <w:sz w:val="22"/>
          <w:szCs w:val="22"/>
          <w:vertAlign w:val="superscript"/>
          <w:lang w:val="en-US"/>
        </w:rPr>
        <w:t>st</w:t>
      </w:r>
      <w:r w:rsidRPr="00AA218C">
        <w:rPr>
          <w:rFonts w:ascii="Arial" w:hAnsi="Arial" w:cs="Arial"/>
          <w:sz w:val="22"/>
          <w:szCs w:val="22"/>
          <w:lang w:val="en-US"/>
        </w:rPr>
        <w:t xml:space="preserve"> December in year N+1 (e.g. 2009)  can be compared to data submitted under the UNECE CLRTAP by 15</w:t>
      </w:r>
      <w:r w:rsidRPr="00AA218C">
        <w:rPr>
          <w:rFonts w:ascii="Arial" w:hAnsi="Arial" w:cs="Arial"/>
          <w:sz w:val="22"/>
          <w:szCs w:val="22"/>
          <w:vertAlign w:val="superscript"/>
          <w:lang w:val="en-US"/>
        </w:rPr>
        <w:t>th</w:t>
      </w:r>
      <w:r w:rsidRPr="00AA218C">
        <w:rPr>
          <w:rFonts w:ascii="Arial" w:hAnsi="Arial" w:cs="Arial"/>
          <w:sz w:val="22"/>
          <w:szCs w:val="22"/>
          <w:lang w:val="en-US"/>
        </w:rPr>
        <w:t xml:space="preserve"> February in year N+2 (e.g. 2010), however, there may be large diff</w:t>
      </w:r>
      <w:r w:rsidRPr="00AA218C">
        <w:rPr>
          <w:rFonts w:ascii="Arial" w:hAnsi="Arial" w:cs="Arial"/>
          <w:sz w:val="22"/>
          <w:szCs w:val="22"/>
          <w:lang w:val="en-US"/>
        </w:rPr>
        <w:t>e</w:t>
      </w:r>
      <w:r w:rsidRPr="00AA218C">
        <w:rPr>
          <w:rFonts w:ascii="Arial" w:hAnsi="Arial" w:cs="Arial"/>
          <w:sz w:val="22"/>
          <w:szCs w:val="22"/>
          <w:lang w:val="en-US"/>
        </w:rPr>
        <w:t>rences in the emission values due to substantial improvements in the inventory after the reporting of preliminary d</w:t>
      </w:r>
      <w:r w:rsidRPr="00AA218C">
        <w:rPr>
          <w:rFonts w:ascii="Arial" w:hAnsi="Arial" w:cs="Arial"/>
          <w:sz w:val="22"/>
          <w:szCs w:val="22"/>
          <w:lang w:val="en-US"/>
        </w:rPr>
        <w:t>a</w:t>
      </w:r>
      <w:r w:rsidRPr="00AA218C">
        <w:rPr>
          <w:rFonts w:ascii="Arial" w:hAnsi="Arial" w:cs="Arial"/>
          <w:sz w:val="22"/>
          <w:szCs w:val="22"/>
          <w:lang w:val="en-US"/>
        </w:rPr>
        <w:t xml:space="preserve">ta. </w:t>
      </w:r>
      <w:r w:rsidRPr="00AA218C">
        <w:rPr>
          <w:rFonts w:ascii="Arial" w:hAnsi="Arial" w:cs="Arial"/>
          <w:sz w:val="22"/>
          <w:szCs w:val="22"/>
        </w:rPr>
        <w:t>NECD "Final data" for a given year N (e.g. 2008) will be reported under the EU NECD by 31</w:t>
      </w:r>
      <w:r w:rsidRPr="00AA218C">
        <w:rPr>
          <w:rFonts w:ascii="Arial" w:hAnsi="Arial" w:cs="Arial"/>
          <w:sz w:val="22"/>
          <w:szCs w:val="22"/>
          <w:vertAlign w:val="superscript"/>
        </w:rPr>
        <w:t>st</w:t>
      </w:r>
      <w:r w:rsidRPr="00AA218C">
        <w:rPr>
          <w:rFonts w:ascii="Arial" w:hAnsi="Arial" w:cs="Arial"/>
          <w:sz w:val="22"/>
          <w:szCs w:val="22"/>
        </w:rPr>
        <w:t xml:space="preserve"> December in year N+2 (e.g. 2010).</w:t>
      </w:r>
    </w:p>
    <w:p w:rsidR="00AA218C" w:rsidRPr="00AA218C" w:rsidRDefault="00AA218C" w:rsidP="00AA218C">
      <w:pPr>
        <w:ind w:left="567" w:right="707"/>
        <w:jc w:val="both"/>
        <w:rPr>
          <w:rFonts w:ascii="Arial" w:hAnsi="Arial" w:cs="Arial"/>
          <w:sz w:val="22"/>
          <w:szCs w:val="22"/>
        </w:rPr>
      </w:pPr>
    </w:p>
    <w:p w:rsidR="00AA218C" w:rsidRPr="00AA218C" w:rsidRDefault="00AA218C" w:rsidP="00AA218C">
      <w:pPr>
        <w:ind w:left="567" w:right="707"/>
        <w:jc w:val="both"/>
        <w:rPr>
          <w:rFonts w:ascii="Arial" w:hAnsi="Arial" w:cs="Arial"/>
          <w:color w:val="FF0000"/>
          <w:sz w:val="22"/>
          <w:szCs w:val="22"/>
        </w:rPr>
      </w:pPr>
      <w:r w:rsidRPr="00AA218C">
        <w:rPr>
          <w:rFonts w:ascii="Arial" w:hAnsi="Arial" w:cs="Arial"/>
          <w:sz w:val="22"/>
          <w:szCs w:val="22"/>
        </w:rPr>
        <w:t>The differences in these reports are due to correction of errors that have been ident</w:t>
      </w:r>
      <w:r w:rsidRPr="00AA218C">
        <w:rPr>
          <w:rFonts w:ascii="Arial" w:hAnsi="Arial" w:cs="Arial"/>
          <w:sz w:val="22"/>
          <w:szCs w:val="22"/>
        </w:rPr>
        <w:t>i</w:t>
      </w:r>
      <w:r w:rsidRPr="00AA218C">
        <w:rPr>
          <w:rFonts w:ascii="Arial" w:hAnsi="Arial" w:cs="Arial"/>
          <w:sz w:val="22"/>
          <w:szCs w:val="22"/>
        </w:rPr>
        <w:t>fied after the first submission of the data for a given year, as well as fine-tuning of emission estimates when more detailed activity data has become available after the first submission of this data.</w:t>
      </w:r>
    </w:p>
    <w:p w:rsidR="00C50CA2" w:rsidRDefault="00C50CA2">
      <w:pPr>
        <w:ind w:left="567" w:right="707"/>
        <w:jc w:val="both"/>
        <w:rPr>
          <w:rFonts w:ascii="Arial" w:hAnsi="Arial" w:cs="Arial"/>
          <w:sz w:val="22"/>
          <w:szCs w:val="22"/>
          <w:lang w:val="en-US"/>
        </w:rPr>
      </w:pPr>
    </w:p>
    <w:p w:rsidR="00D90EBF" w:rsidRDefault="00D90EBF" w:rsidP="00D90EBF">
      <w:pPr>
        <w:ind w:left="567" w:right="707"/>
        <w:jc w:val="both"/>
        <w:rPr>
          <w:rFonts w:ascii="Arial" w:hAnsi="Arial" w:cs="Arial"/>
          <w:sz w:val="22"/>
          <w:szCs w:val="22"/>
          <w:lang w:val="en-US"/>
        </w:rPr>
      </w:pPr>
    </w:p>
    <w:p w:rsidR="00AA218C" w:rsidRDefault="00AA218C">
      <w:pPr>
        <w:rPr>
          <w:rFonts w:ascii="Arial" w:hAnsi="Arial" w:cs="Arial"/>
          <w:b/>
          <w:i/>
          <w:sz w:val="22"/>
          <w:szCs w:val="22"/>
          <w:lang w:val="en-US"/>
        </w:rPr>
      </w:pPr>
      <w:r>
        <w:rPr>
          <w:rFonts w:ascii="Arial" w:hAnsi="Arial" w:cs="Arial"/>
          <w:b/>
          <w:i/>
          <w:sz w:val="22"/>
          <w:szCs w:val="22"/>
          <w:lang w:val="en-US"/>
        </w:rPr>
        <w:br w:type="page"/>
      </w:r>
    </w:p>
    <w:p w:rsidR="00D90EBF" w:rsidRPr="00D90EBF" w:rsidRDefault="00D90EBF">
      <w:pPr>
        <w:ind w:left="567" w:right="707"/>
        <w:jc w:val="both"/>
        <w:rPr>
          <w:rFonts w:ascii="Arial" w:hAnsi="Arial" w:cs="Arial"/>
          <w:b/>
          <w:i/>
          <w:sz w:val="22"/>
          <w:szCs w:val="22"/>
          <w:lang w:val="en-US"/>
        </w:rPr>
      </w:pPr>
      <w:r w:rsidRPr="00D90EBF">
        <w:rPr>
          <w:rFonts w:ascii="Arial" w:hAnsi="Arial" w:cs="Arial"/>
          <w:b/>
          <w:i/>
          <w:sz w:val="22"/>
          <w:szCs w:val="22"/>
          <w:lang w:val="en-US"/>
        </w:rPr>
        <w:lastRenderedPageBreak/>
        <w:t>Projections</w:t>
      </w:r>
    </w:p>
    <w:p w:rsidR="00D90EBF" w:rsidRDefault="00D90EBF">
      <w:pPr>
        <w:ind w:left="567" w:right="707"/>
        <w:jc w:val="both"/>
        <w:rPr>
          <w:rFonts w:ascii="Arial" w:hAnsi="Arial" w:cs="Arial"/>
          <w:sz w:val="22"/>
          <w:szCs w:val="22"/>
          <w:lang w:val="en-US"/>
        </w:rPr>
      </w:pPr>
    </w:p>
    <w:p w:rsidR="00F74F3F" w:rsidRDefault="00F74F3F" w:rsidP="00F74F3F">
      <w:pPr>
        <w:ind w:left="567" w:right="707"/>
        <w:jc w:val="both"/>
        <w:rPr>
          <w:rFonts w:ascii="Arial" w:hAnsi="Arial" w:cs="Arial"/>
          <w:sz w:val="22"/>
          <w:szCs w:val="22"/>
          <w:lang w:val="en-US"/>
        </w:rPr>
      </w:pPr>
      <w:r>
        <w:rPr>
          <w:rFonts w:ascii="Arial" w:hAnsi="Arial" w:cs="Arial"/>
          <w:sz w:val="22"/>
          <w:szCs w:val="22"/>
          <w:lang w:val="en-US"/>
        </w:rPr>
        <w:t>We do not currently have projections for 2010 but for the years 2020 and 2050, i</w:t>
      </w:r>
      <w:r>
        <w:rPr>
          <w:rFonts w:ascii="Arial" w:hAnsi="Arial" w:cs="Arial"/>
          <w:sz w:val="22"/>
          <w:szCs w:val="22"/>
          <w:lang w:val="en-US"/>
        </w:rPr>
        <w:t>n</w:t>
      </w:r>
      <w:r>
        <w:rPr>
          <w:rFonts w:ascii="Arial" w:hAnsi="Arial" w:cs="Arial"/>
          <w:sz w:val="22"/>
          <w:szCs w:val="22"/>
          <w:lang w:val="en-US"/>
        </w:rPr>
        <w:t xml:space="preserve">stead. Projections for 2020 and 2050 are presented in the attached reporting table </w:t>
      </w:r>
      <w:r w:rsidRPr="0028269A">
        <w:rPr>
          <w:rFonts w:ascii="Arial" w:hAnsi="Arial" w:cs="Arial"/>
          <w:sz w:val="22"/>
          <w:szCs w:val="22"/>
          <w:u w:val="single"/>
          <w:lang w:val="en-US"/>
        </w:rPr>
        <w:t>FI_NEC</w:t>
      </w:r>
      <w:r>
        <w:rPr>
          <w:rFonts w:ascii="Arial" w:hAnsi="Arial" w:cs="Arial"/>
          <w:sz w:val="22"/>
          <w:szCs w:val="22"/>
          <w:u w:val="single"/>
          <w:lang w:val="en-US"/>
        </w:rPr>
        <w:t>D_198</w:t>
      </w:r>
      <w:r w:rsidR="00174ABD">
        <w:rPr>
          <w:rFonts w:ascii="Arial" w:hAnsi="Arial" w:cs="Arial"/>
          <w:sz w:val="22"/>
          <w:szCs w:val="22"/>
          <w:u w:val="single"/>
          <w:lang w:val="en-US"/>
        </w:rPr>
        <w:t>0</w:t>
      </w:r>
      <w:r>
        <w:rPr>
          <w:rFonts w:ascii="Arial" w:hAnsi="Arial" w:cs="Arial"/>
          <w:sz w:val="22"/>
          <w:szCs w:val="22"/>
          <w:u w:val="single"/>
          <w:lang w:val="en-US"/>
        </w:rPr>
        <w:t>_2010_10Dec2010</w:t>
      </w:r>
      <w:r w:rsidRPr="0028269A">
        <w:rPr>
          <w:rFonts w:ascii="Arial" w:hAnsi="Arial" w:cs="Arial"/>
          <w:sz w:val="22"/>
          <w:szCs w:val="22"/>
          <w:u w:val="single"/>
          <w:lang w:val="en-US"/>
        </w:rPr>
        <w:t>.xls</w:t>
      </w:r>
      <w:r>
        <w:rPr>
          <w:rFonts w:ascii="Arial" w:hAnsi="Arial" w:cs="Arial"/>
          <w:sz w:val="22"/>
          <w:szCs w:val="22"/>
          <w:lang w:val="en-US"/>
        </w:rPr>
        <w:t xml:space="preserve"> (in NFR09 (Version NFR 2009-1) format). </w:t>
      </w:r>
    </w:p>
    <w:p w:rsidR="00F74F3F" w:rsidRDefault="00F74F3F" w:rsidP="00F74F3F">
      <w:pPr>
        <w:ind w:left="567" w:right="707"/>
        <w:jc w:val="both"/>
        <w:rPr>
          <w:rFonts w:ascii="Arial" w:hAnsi="Arial" w:cs="Arial"/>
          <w:sz w:val="22"/>
          <w:szCs w:val="22"/>
          <w:lang w:val="en-US"/>
        </w:rPr>
      </w:pPr>
    </w:p>
    <w:p w:rsidR="00F74F3F" w:rsidRDefault="00F74F3F" w:rsidP="00F74F3F">
      <w:pPr>
        <w:ind w:left="567" w:right="707"/>
        <w:jc w:val="both"/>
        <w:rPr>
          <w:rFonts w:ascii="Arial" w:hAnsi="Arial" w:cs="Arial"/>
          <w:sz w:val="22"/>
          <w:szCs w:val="22"/>
          <w:lang w:val="en-US"/>
        </w:rPr>
      </w:pPr>
      <w:r>
        <w:rPr>
          <w:rFonts w:ascii="Arial" w:hAnsi="Arial" w:cs="Arial"/>
          <w:sz w:val="22"/>
          <w:szCs w:val="22"/>
          <w:lang w:val="en-US"/>
        </w:rPr>
        <w:t>The old projections for the year 2010 are presented in Table 1 below on page 2 of this document. Information on the socioeconomic assumptions used in the preparation of the old projections for the year 2010 are presented in Table 2 below on page 2 of this document.</w:t>
      </w:r>
    </w:p>
    <w:p w:rsidR="00C50CA2" w:rsidRDefault="00C50CA2">
      <w:pPr>
        <w:ind w:left="567" w:right="707"/>
        <w:jc w:val="both"/>
        <w:rPr>
          <w:rFonts w:ascii="Arial" w:hAnsi="Arial" w:cs="Arial"/>
          <w:sz w:val="22"/>
          <w:szCs w:val="22"/>
          <w:lang w:val="en-US"/>
        </w:rPr>
      </w:pPr>
    </w:p>
    <w:p w:rsidR="0028269A" w:rsidRPr="0028269A" w:rsidRDefault="0028269A" w:rsidP="0028269A">
      <w:pPr>
        <w:pStyle w:val="Otsikko1"/>
        <w:ind w:left="567"/>
        <w:rPr>
          <w:i/>
          <w:sz w:val="22"/>
          <w:szCs w:val="22"/>
          <w:lang w:val="en-US"/>
        </w:rPr>
      </w:pPr>
      <w:r w:rsidRPr="0028269A">
        <w:rPr>
          <w:i/>
          <w:sz w:val="22"/>
          <w:szCs w:val="22"/>
          <w:lang w:val="en-US"/>
        </w:rPr>
        <w:t>Inventory Report</w:t>
      </w:r>
    </w:p>
    <w:p w:rsidR="0028269A" w:rsidRDefault="0028269A">
      <w:pPr>
        <w:ind w:left="567" w:right="707"/>
        <w:jc w:val="both"/>
        <w:rPr>
          <w:rFonts w:ascii="Arial" w:hAnsi="Arial" w:cs="Arial"/>
          <w:sz w:val="22"/>
          <w:szCs w:val="22"/>
          <w:lang w:val="en-US"/>
        </w:rPr>
      </w:pPr>
      <w:r>
        <w:rPr>
          <w:rFonts w:ascii="Arial" w:hAnsi="Arial" w:cs="Arial"/>
          <w:sz w:val="22"/>
          <w:szCs w:val="22"/>
          <w:lang w:val="en-US"/>
        </w:rPr>
        <w:t>The Finnish Informative Inventory Report 20</w:t>
      </w:r>
      <w:r w:rsidR="0063119F">
        <w:rPr>
          <w:rFonts w:ascii="Arial" w:hAnsi="Arial" w:cs="Arial"/>
          <w:sz w:val="22"/>
          <w:szCs w:val="22"/>
          <w:lang w:val="en-US"/>
        </w:rPr>
        <w:t>10</w:t>
      </w:r>
      <w:r>
        <w:rPr>
          <w:rFonts w:ascii="Arial" w:hAnsi="Arial" w:cs="Arial"/>
          <w:sz w:val="22"/>
          <w:szCs w:val="22"/>
          <w:lang w:val="en-US"/>
        </w:rPr>
        <w:t xml:space="preserve"> is uploaded into the EIONET CDR in two parts (Part 1 Methodology, Analysis and Trends and Part 2 Annexes).</w:t>
      </w:r>
    </w:p>
    <w:p w:rsidR="0028269A" w:rsidRDefault="0028269A">
      <w:pPr>
        <w:ind w:left="567" w:right="707"/>
        <w:jc w:val="both"/>
        <w:rPr>
          <w:rFonts w:ascii="Arial" w:hAnsi="Arial" w:cs="Arial"/>
          <w:sz w:val="22"/>
          <w:szCs w:val="22"/>
          <w:lang w:val="en-US"/>
        </w:rPr>
      </w:pPr>
    </w:p>
    <w:p w:rsidR="0028269A" w:rsidRDefault="0028269A">
      <w:pPr>
        <w:ind w:left="567" w:right="707"/>
        <w:jc w:val="both"/>
        <w:rPr>
          <w:rFonts w:ascii="Arial" w:hAnsi="Arial" w:cs="Arial"/>
          <w:sz w:val="22"/>
          <w:szCs w:val="22"/>
          <w:lang w:val="en-US"/>
        </w:rPr>
      </w:pPr>
    </w:p>
    <w:p w:rsidR="00C50CA2" w:rsidRDefault="00C50CA2">
      <w:pPr>
        <w:ind w:right="707"/>
        <w:jc w:val="both"/>
        <w:rPr>
          <w:rFonts w:ascii="Arial" w:hAnsi="Arial" w:cs="Arial"/>
          <w:b/>
          <w:sz w:val="22"/>
          <w:szCs w:val="22"/>
          <w:lang w:val="en-US"/>
        </w:rPr>
      </w:pPr>
      <w:r>
        <w:rPr>
          <w:rFonts w:ascii="Arial" w:hAnsi="Arial" w:cs="Arial"/>
          <w:sz w:val="22"/>
          <w:szCs w:val="22"/>
          <w:lang w:val="en-US"/>
        </w:rPr>
        <w:tab/>
      </w:r>
      <w:r>
        <w:rPr>
          <w:rFonts w:ascii="Arial" w:hAnsi="Arial" w:cs="Arial"/>
          <w:sz w:val="22"/>
          <w:szCs w:val="22"/>
          <w:lang w:val="en-US"/>
        </w:rPr>
        <w:tab/>
        <w:t>For further information, please contact:</w:t>
      </w:r>
      <w:r>
        <w:rPr>
          <w:rFonts w:ascii="Arial" w:hAnsi="Arial" w:cs="Arial"/>
          <w:b/>
          <w:sz w:val="22"/>
          <w:szCs w:val="22"/>
          <w:lang w:val="en-US"/>
        </w:rPr>
        <w:t xml:space="preserve"> </w:t>
      </w:r>
      <w:r>
        <w:rPr>
          <w:rFonts w:ascii="Arial" w:hAnsi="Arial" w:cs="Arial"/>
          <w:b/>
          <w:sz w:val="22"/>
          <w:szCs w:val="22"/>
          <w:lang w:val="en-US"/>
        </w:rPr>
        <w:tab/>
      </w:r>
    </w:p>
    <w:p w:rsidR="00C50CA2" w:rsidRDefault="00C50CA2">
      <w:pPr>
        <w:ind w:right="707"/>
        <w:jc w:val="both"/>
        <w:rPr>
          <w:rFonts w:ascii="Arial" w:hAnsi="Arial" w:cs="Arial"/>
          <w:b/>
          <w:sz w:val="22"/>
          <w:szCs w:val="22"/>
          <w:lang w:val="en-US"/>
        </w:rPr>
      </w:pPr>
      <w:r>
        <w:rPr>
          <w:rFonts w:ascii="Arial" w:hAnsi="Arial" w:cs="Arial"/>
          <w:b/>
          <w:sz w:val="22"/>
          <w:szCs w:val="22"/>
          <w:lang w:val="en-US"/>
        </w:rPr>
        <w:tab/>
      </w:r>
    </w:p>
    <w:p w:rsidR="00C50CA2" w:rsidRDefault="00C50CA2">
      <w:pPr>
        <w:ind w:left="2272" w:firstLine="284"/>
        <w:jc w:val="both"/>
        <w:rPr>
          <w:rFonts w:ascii="Arial" w:hAnsi="Arial" w:cs="Arial"/>
          <w:sz w:val="22"/>
          <w:szCs w:val="22"/>
        </w:rPr>
      </w:pPr>
      <w:r>
        <w:rPr>
          <w:rFonts w:ascii="Arial" w:hAnsi="Arial" w:cs="Arial"/>
          <w:sz w:val="22"/>
          <w:szCs w:val="22"/>
        </w:rPr>
        <w:t xml:space="preserve">Kristina Saarinen (kristina.saarinen@environment.fi) </w:t>
      </w:r>
    </w:p>
    <w:p w:rsidR="00C50CA2" w:rsidRDefault="00C50CA2">
      <w:pPr>
        <w:jc w:val="both"/>
        <w:rPr>
          <w:rFonts w:ascii="Arial" w:hAnsi="Arial" w:cs="Arial"/>
          <w:sz w:val="22"/>
          <w:szCs w:val="22"/>
          <w:lang w:val="sv-SE"/>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sz w:val="22"/>
          <w:szCs w:val="22"/>
          <w:lang w:val="sv-SE"/>
        </w:rPr>
        <w:t>Finnish Environment Institute, P.O.B. 140, 00251 Helsinki, Finland</w:t>
      </w:r>
    </w:p>
    <w:p w:rsidR="00C50CA2" w:rsidRDefault="00C50CA2">
      <w:pPr>
        <w:jc w:val="both"/>
        <w:rPr>
          <w:rFonts w:ascii="Arial" w:hAnsi="Arial" w:cs="Arial"/>
          <w:sz w:val="22"/>
          <w:szCs w:val="22"/>
          <w:lang w:val="en-US"/>
        </w:rPr>
      </w:pPr>
      <w:r>
        <w:rPr>
          <w:rFonts w:ascii="Arial" w:hAnsi="Arial" w:cs="Arial"/>
          <w:sz w:val="22"/>
          <w:szCs w:val="22"/>
          <w:lang w:val="sv-SE"/>
        </w:rPr>
        <w:tab/>
      </w:r>
      <w:r>
        <w:rPr>
          <w:rFonts w:ascii="Arial" w:hAnsi="Arial" w:cs="Arial"/>
          <w:sz w:val="22"/>
          <w:szCs w:val="22"/>
          <w:lang w:val="sv-SE"/>
        </w:rPr>
        <w:tab/>
      </w:r>
      <w:r>
        <w:rPr>
          <w:rFonts w:ascii="Arial" w:hAnsi="Arial" w:cs="Arial"/>
          <w:sz w:val="22"/>
          <w:szCs w:val="22"/>
          <w:lang w:val="sv-SE"/>
        </w:rPr>
        <w:tab/>
      </w:r>
      <w:r>
        <w:rPr>
          <w:rFonts w:ascii="Arial" w:hAnsi="Arial" w:cs="Arial"/>
          <w:sz w:val="22"/>
          <w:szCs w:val="22"/>
          <w:lang w:val="sv-SE"/>
        </w:rPr>
        <w:tab/>
      </w:r>
      <w:r>
        <w:rPr>
          <w:rFonts w:ascii="Arial" w:hAnsi="Arial" w:cs="Arial"/>
          <w:sz w:val="22"/>
          <w:szCs w:val="22"/>
          <w:lang w:val="sv-SE"/>
        </w:rPr>
        <w:tab/>
      </w:r>
      <w:r>
        <w:rPr>
          <w:rFonts w:ascii="Arial" w:hAnsi="Arial" w:cs="Arial"/>
          <w:sz w:val="22"/>
          <w:szCs w:val="22"/>
          <w:lang w:val="sv-SE"/>
        </w:rPr>
        <w:tab/>
      </w:r>
      <w:r>
        <w:rPr>
          <w:rFonts w:ascii="Arial" w:hAnsi="Arial" w:cs="Arial"/>
          <w:sz w:val="22"/>
          <w:szCs w:val="22"/>
          <w:lang w:val="sv-SE"/>
        </w:rPr>
        <w:tab/>
      </w:r>
      <w:r>
        <w:rPr>
          <w:rFonts w:ascii="Arial" w:hAnsi="Arial" w:cs="Arial"/>
          <w:sz w:val="22"/>
          <w:szCs w:val="22"/>
          <w:lang w:val="sv-SE"/>
        </w:rPr>
        <w:tab/>
      </w:r>
      <w:r>
        <w:rPr>
          <w:rFonts w:ascii="Arial" w:hAnsi="Arial" w:cs="Arial"/>
          <w:sz w:val="22"/>
          <w:szCs w:val="22"/>
          <w:lang w:val="sv-SE"/>
        </w:rPr>
        <w:tab/>
      </w:r>
      <w:r>
        <w:rPr>
          <w:rFonts w:ascii="Arial" w:hAnsi="Arial" w:cs="Arial"/>
          <w:sz w:val="22"/>
          <w:szCs w:val="22"/>
          <w:lang w:val="en-US"/>
        </w:rPr>
        <w:t>telephone +358 400 148715, fax +358 20 4902491</w:t>
      </w:r>
    </w:p>
    <w:p w:rsidR="00C50CA2" w:rsidRDefault="00C50CA2">
      <w:pPr>
        <w:pStyle w:val="Otsikko3"/>
        <w:spacing w:before="0" w:after="0"/>
        <w:rPr>
          <w:lang w:val="en-US"/>
        </w:rPr>
        <w:sectPr w:rsidR="00C50CA2">
          <w:pgSz w:w="11906" w:h="16838" w:code="9"/>
          <w:pgMar w:top="709" w:right="1134" w:bottom="709" w:left="1134" w:header="709" w:footer="709" w:gutter="0"/>
          <w:cols w:space="720"/>
          <w:docGrid w:linePitch="360"/>
        </w:sectPr>
      </w:pPr>
    </w:p>
    <w:p w:rsidR="00C50CA2" w:rsidRDefault="00C50CA2">
      <w:pPr>
        <w:pStyle w:val="Otsikko3"/>
        <w:spacing w:before="0" w:after="0"/>
        <w:rPr>
          <w:sz w:val="22"/>
          <w:lang w:val="en-US"/>
        </w:rPr>
      </w:pPr>
    </w:p>
    <w:p w:rsidR="00C50CA2" w:rsidRDefault="00C50CA2">
      <w:pPr>
        <w:pStyle w:val="Otsikko3"/>
        <w:spacing w:before="0" w:after="0"/>
        <w:rPr>
          <w:sz w:val="22"/>
          <w:lang w:val="en-US"/>
        </w:rPr>
      </w:pPr>
    </w:p>
    <w:p w:rsidR="00C50CA2" w:rsidRDefault="00C50CA2">
      <w:pPr>
        <w:pStyle w:val="Otsikko3"/>
        <w:spacing w:before="0" w:after="0"/>
        <w:jc w:val="center"/>
        <w:rPr>
          <w:sz w:val="22"/>
          <w:lang w:val="en-US"/>
        </w:rPr>
      </w:pPr>
      <w:r>
        <w:rPr>
          <w:sz w:val="22"/>
          <w:lang w:val="en-US"/>
        </w:rPr>
        <w:t>Table 1.</w:t>
      </w:r>
      <w:r>
        <w:rPr>
          <w:sz w:val="22"/>
          <w:lang w:val="en-US"/>
        </w:rPr>
        <w:tab/>
        <w:t xml:space="preserve">  Finnish emission projections for the year 2010</w:t>
      </w:r>
    </w:p>
    <w:p w:rsidR="00C50CA2" w:rsidRDefault="00C50CA2">
      <w:pPr>
        <w:rPr>
          <w:sz w:val="22"/>
          <w:lang w:val="en-US"/>
        </w:rPr>
      </w:pPr>
    </w:p>
    <w:tbl>
      <w:tblPr>
        <w:tblW w:w="0" w:type="auto"/>
        <w:jc w:val="center"/>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190"/>
        <w:gridCol w:w="1439"/>
        <w:gridCol w:w="1440"/>
        <w:gridCol w:w="1440"/>
        <w:gridCol w:w="1260"/>
      </w:tblGrid>
      <w:tr w:rsidR="00C50CA2">
        <w:trPr>
          <w:trHeight w:val="680"/>
          <w:jc w:val="center"/>
        </w:trPr>
        <w:tc>
          <w:tcPr>
            <w:tcW w:w="1190" w:type="dxa"/>
            <w:vAlign w:val="bottom"/>
          </w:tcPr>
          <w:p w:rsidR="00C50CA2" w:rsidRDefault="00C50CA2">
            <w:pPr>
              <w:rPr>
                <w:rFonts w:ascii="Arial" w:hAnsi="Arial" w:cs="Arial"/>
                <w:b/>
                <w:bCs/>
                <w:sz w:val="22"/>
                <w:szCs w:val="16"/>
                <w:lang w:val="en-US"/>
              </w:rPr>
            </w:pPr>
          </w:p>
          <w:p w:rsidR="00C50CA2" w:rsidRDefault="00C50CA2">
            <w:pPr>
              <w:rPr>
                <w:rFonts w:ascii="Arial" w:hAnsi="Arial" w:cs="Arial"/>
                <w:b/>
                <w:bCs/>
                <w:sz w:val="22"/>
                <w:szCs w:val="16"/>
                <w:lang w:val="en-US"/>
              </w:rPr>
            </w:pPr>
          </w:p>
        </w:tc>
        <w:tc>
          <w:tcPr>
            <w:tcW w:w="1439" w:type="dxa"/>
            <w:vAlign w:val="bottom"/>
          </w:tcPr>
          <w:p w:rsidR="00C50CA2" w:rsidRDefault="00C50CA2">
            <w:pPr>
              <w:jc w:val="center"/>
              <w:rPr>
                <w:rFonts w:ascii="Arial" w:hAnsi="Arial" w:cs="Arial"/>
                <w:b/>
                <w:bCs/>
                <w:sz w:val="22"/>
                <w:szCs w:val="16"/>
                <w:lang w:val="en-US"/>
              </w:rPr>
            </w:pPr>
            <w:r>
              <w:rPr>
                <w:rFonts w:ascii="Arial" w:hAnsi="Arial" w:cs="Arial"/>
                <w:b/>
                <w:bCs/>
                <w:sz w:val="22"/>
                <w:szCs w:val="16"/>
                <w:lang w:val="en-US"/>
              </w:rPr>
              <w:t>SO</w:t>
            </w:r>
            <w:r>
              <w:rPr>
                <w:rFonts w:ascii="Arial" w:hAnsi="Arial" w:cs="Arial"/>
                <w:b/>
                <w:bCs/>
                <w:sz w:val="22"/>
                <w:szCs w:val="16"/>
                <w:vertAlign w:val="subscript"/>
                <w:lang w:val="en-US"/>
              </w:rPr>
              <w:t>x</w:t>
            </w:r>
            <w:r>
              <w:rPr>
                <w:rFonts w:ascii="Arial" w:hAnsi="Arial" w:cs="Arial"/>
                <w:b/>
                <w:bCs/>
                <w:sz w:val="22"/>
                <w:szCs w:val="16"/>
                <w:lang w:val="en-US"/>
              </w:rPr>
              <w:t xml:space="preserve"> (as SO</w:t>
            </w:r>
            <w:r>
              <w:rPr>
                <w:rFonts w:ascii="Arial" w:hAnsi="Arial" w:cs="Arial"/>
                <w:b/>
                <w:bCs/>
                <w:sz w:val="22"/>
                <w:szCs w:val="16"/>
                <w:vertAlign w:val="subscript"/>
                <w:lang w:val="en-US"/>
              </w:rPr>
              <w:t>2</w:t>
            </w:r>
            <w:r>
              <w:rPr>
                <w:rFonts w:ascii="Arial" w:hAnsi="Arial" w:cs="Arial"/>
                <w:b/>
                <w:bCs/>
                <w:sz w:val="22"/>
                <w:szCs w:val="16"/>
                <w:lang w:val="en-US"/>
              </w:rPr>
              <w:t>)</w:t>
            </w:r>
          </w:p>
          <w:p w:rsidR="00C50CA2" w:rsidRDefault="00C50CA2">
            <w:pPr>
              <w:jc w:val="center"/>
              <w:rPr>
                <w:rFonts w:ascii="Arial" w:hAnsi="Arial" w:cs="Arial"/>
                <w:b/>
                <w:bCs/>
                <w:sz w:val="22"/>
                <w:szCs w:val="16"/>
                <w:lang w:val="en-US"/>
              </w:rPr>
            </w:pPr>
            <w:r>
              <w:rPr>
                <w:rFonts w:ascii="Arial" w:hAnsi="Arial" w:cs="Arial"/>
                <w:sz w:val="22"/>
                <w:szCs w:val="16"/>
                <w:lang w:val="en-US"/>
              </w:rPr>
              <w:t>Gg</w:t>
            </w:r>
          </w:p>
        </w:tc>
        <w:tc>
          <w:tcPr>
            <w:tcW w:w="1440" w:type="dxa"/>
            <w:vAlign w:val="bottom"/>
          </w:tcPr>
          <w:p w:rsidR="00C50CA2" w:rsidRDefault="00C50CA2">
            <w:pPr>
              <w:jc w:val="center"/>
              <w:rPr>
                <w:rFonts w:ascii="Arial" w:hAnsi="Arial" w:cs="Arial"/>
                <w:b/>
                <w:bCs/>
                <w:sz w:val="22"/>
                <w:szCs w:val="16"/>
                <w:lang w:val="en-US"/>
              </w:rPr>
            </w:pPr>
            <w:r>
              <w:rPr>
                <w:rFonts w:ascii="Arial" w:hAnsi="Arial" w:cs="Arial"/>
                <w:b/>
                <w:bCs/>
                <w:sz w:val="22"/>
                <w:szCs w:val="16"/>
                <w:lang w:val="en-US"/>
              </w:rPr>
              <w:t>NO</w:t>
            </w:r>
            <w:r>
              <w:rPr>
                <w:rFonts w:ascii="Arial" w:hAnsi="Arial" w:cs="Arial"/>
                <w:b/>
                <w:bCs/>
                <w:sz w:val="22"/>
                <w:szCs w:val="16"/>
                <w:vertAlign w:val="subscript"/>
                <w:lang w:val="en-US"/>
              </w:rPr>
              <w:t xml:space="preserve">x </w:t>
            </w:r>
            <w:r>
              <w:rPr>
                <w:rFonts w:ascii="Arial" w:hAnsi="Arial" w:cs="Arial"/>
                <w:b/>
                <w:bCs/>
                <w:sz w:val="22"/>
                <w:szCs w:val="16"/>
                <w:lang w:val="en-US"/>
              </w:rPr>
              <w:t>(as NO</w:t>
            </w:r>
            <w:r>
              <w:rPr>
                <w:rFonts w:ascii="Arial" w:hAnsi="Arial" w:cs="Arial"/>
                <w:b/>
                <w:bCs/>
                <w:sz w:val="22"/>
                <w:szCs w:val="16"/>
                <w:vertAlign w:val="subscript"/>
                <w:lang w:val="en-US"/>
              </w:rPr>
              <w:t>2</w:t>
            </w:r>
            <w:r>
              <w:rPr>
                <w:rFonts w:ascii="Arial" w:hAnsi="Arial" w:cs="Arial"/>
                <w:b/>
                <w:bCs/>
                <w:sz w:val="22"/>
                <w:szCs w:val="16"/>
                <w:lang w:val="en-US"/>
              </w:rPr>
              <w:t>)</w:t>
            </w:r>
          </w:p>
          <w:p w:rsidR="00C50CA2" w:rsidRDefault="00C50CA2">
            <w:pPr>
              <w:jc w:val="center"/>
              <w:rPr>
                <w:rFonts w:ascii="Arial" w:hAnsi="Arial" w:cs="Arial"/>
                <w:b/>
                <w:bCs/>
                <w:sz w:val="22"/>
                <w:szCs w:val="16"/>
                <w:lang w:val="en-US"/>
              </w:rPr>
            </w:pPr>
            <w:r>
              <w:rPr>
                <w:rFonts w:ascii="Arial" w:hAnsi="Arial" w:cs="Arial"/>
                <w:sz w:val="22"/>
                <w:szCs w:val="16"/>
                <w:lang w:val="en-US"/>
              </w:rPr>
              <w:t>Gg</w:t>
            </w:r>
          </w:p>
        </w:tc>
        <w:tc>
          <w:tcPr>
            <w:tcW w:w="1440" w:type="dxa"/>
            <w:vAlign w:val="bottom"/>
          </w:tcPr>
          <w:p w:rsidR="00C50CA2" w:rsidRDefault="00C50CA2">
            <w:pPr>
              <w:jc w:val="center"/>
              <w:rPr>
                <w:rFonts w:ascii="Arial" w:hAnsi="Arial" w:cs="Arial"/>
                <w:b/>
                <w:bCs/>
                <w:sz w:val="22"/>
                <w:szCs w:val="16"/>
                <w:lang w:val="en-US"/>
              </w:rPr>
            </w:pPr>
            <w:r>
              <w:rPr>
                <w:rFonts w:ascii="Arial" w:hAnsi="Arial" w:cs="Arial"/>
                <w:b/>
                <w:bCs/>
                <w:sz w:val="22"/>
                <w:szCs w:val="16"/>
                <w:lang w:val="en-US"/>
              </w:rPr>
              <w:t>NH</w:t>
            </w:r>
            <w:r>
              <w:rPr>
                <w:rFonts w:ascii="Arial" w:hAnsi="Arial" w:cs="Arial"/>
                <w:b/>
                <w:bCs/>
                <w:sz w:val="22"/>
                <w:szCs w:val="16"/>
                <w:vertAlign w:val="subscript"/>
                <w:lang w:val="en-US"/>
              </w:rPr>
              <w:t>3</w:t>
            </w:r>
          </w:p>
          <w:p w:rsidR="00C50CA2" w:rsidRDefault="00C50CA2">
            <w:pPr>
              <w:jc w:val="center"/>
              <w:rPr>
                <w:rFonts w:ascii="Arial" w:hAnsi="Arial" w:cs="Arial"/>
                <w:b/>
                <w:bCs/>
                <w:sz w:val="22"/>
                <w:szCs w:val="16"/>
                <w:lang w:val="en-US"/>
              </w:rPr>
            </w:pPr>
            <w:r>
              <w:rPr>
                <w:rFonts w:ascii="Arial" w:hAnsi="Arial" w:cs="Arial"/>
                <w:sz w:val="22"/>
                <w:szCs w:val="16"/>
                <w:lang w:val="en-US"/>
              </w:rPr>
              <w:t>Gg</w:t>
            </w:r>
          </w:p>
        </w:tc>
        <w:tc>
          <w:tcPr>
            <w:tcW w:w="1260" w:type="dxa"/>
            <w:vAlign w:val="bottom"/>
          </w:tcPr>
          <w:p w:rsidR="00C50CA2" w:rsidRDefault="00C50CA2">
            <w:pPr>
              <w:jc w:val="center"/>
              <w:rPr>
                <w:rFonts w:ascii="Arial" w:hAnsi="Arial" w:cs="Arial"/>
                <w:b/>
                <w:bCs/>
                <w:sz w:val="22"/>
                <w:szCs w:val="16"/>
                <w:lang w:val="en-US"/>
              </w:rPr>
            </w:pPr>
            <w:r>
              <w:rPr>
                <w:rFonts w:ascii="Arial" w:hAnsi="Arial" w:cs="Arial"/>
                <w:b/>
                <w:bCs/>
                <w:sz w:val="22"/>
                <w:szCs w:val="16"/>
                <w:lang w:val="en-US"/>
              </w:rPr>
              <w:t>NMVOC</w:t>
            </w:r>
          </w:p>
          <w:p w:rsidR="00C50CA2" w:rsidRDefault="00C50CA2">
            <w:pPr>
              <w:jc w:val="center"/>
              <w:rPr>
                <w:rFonts w:ascii="Arial" w:hAnsi="Arial" w:cs="Arial"/>
                <w:b/>
                <w:bCs/>
                <w:sz w:val="22"/>
                <w:szCs w:val="16"/>
                <w:lang w:val="en-US"/>
              </w:rPr>
            </w:pPr>
            <w:r>
              <w:rPr>
                <w:rFonts w:ascii="Arial" w:hAnsi="Arial" w:cs="Arial"/>
                <w:sz w:val="22"/>
                <w:szCs w:val="16"/>
                <w:lang w:val="en-US"/>
              </w:rPr>
              <w:t>Gg</w:t>
            </w:r>
          </w:p>
        </w:tc>
      </w:tr>
      <w:tr w:rsidR="00C50CA2">
        <w:trPr>
          <w:trHeight w:val="402"/>
          <w:jc w:val="center"/>
        </w:trPr>
        <w:tc>
          <w:tcPr>
            <w:tcW w:w="1190" w:type="dxa"/>
            <w:vAlign w:val="bottom"/>
          </w:tcPr>
          <w:p w:rsidR="00C50CA2" w:rsidRDefault="00C50CA2">
            <w:pPr>
              <w:rPr>
                <w:rFonts w:ascii="Arial" w:hAnsi="Arial" w:cs="Arial"/>
                <w:sz w:val="22"/>
                <w:szCs w:val="16"/>
                <w:lang w:val="en-US"/>
              </w:rPr>
            </w:pPr>
          </w:p>
          <w:p w:rsidR="00C50CA2" w:rsidRDefault="00C50CA2">
            <w:pPr>
              <w:jc w:val="center"/>
              <w:rPr>
                <w:rFonts w:ascii="Arial" w:hAnsi="Arial" w:cs="Arial"/>
                <w:sz w:val="22"/>
                <w:szCs w:val="16"/>
                <w:lang w:val="en-US"/>
              </w:rPr>
            </w:pPr>
            <w:r>
              <w:rPr>
                <w:rFonts w:ascii="Arial" w:hAnsi="Arial" w:cs="Arial"/>
                <w:sz w:val="22"/>
                <w:szCs w:val="16"/>
                <w:lang w:val="en-US"/>
              </w:rPr>
              <w:t>Year 2010</w:t>
            </w:r>
          </w:p>
          <w:p w:rsidR="00C50CA2" w:rsidRDefault="00C50CA2">
            <w:pPr>
              <w:rPr>
                <w:rFonts w:ascii="Arial" w:hAnsi="Arial" w:cs="Arial"/>
                <w:sz w:val="22"/>
                <w:szCs w:val="16"/>
                <w:lang w:val="en-US"/>
              </w:rPr>
            </w:pPr>
          </w:p>
        </w:tc>
        <w:tc>
          <w:tcPr>
            <w:tcW w:w="1439" w:type="dxa"/>
            <w:vAlign w:val="bottom"/>
          </w:tcPr>
          <w:p w:rsidR="00C50CA2" w:rsidRDefault="00C50CA2">
            <w:pPr>
              <w:jc w:val="center"/>
              <w:rPr>
                <w:rFonts w:ascii="Arial" w:hAnsi="Arial" w:cs="Arial"/>
                <w:sz w:val="22"/>
                <w:szCs w:val="16"/>
                <w:lang w:val="en-US"/>
              </w:rPr>
            </w:pPr>
            <w:r>
              <w:rPr>
                <w:rFonts w:ascii="Arial" w:hAnsi="Arial" w:cs="Arial"/>
                <w:sz w:val="22"/>
                <w:szCs w:val="16"/>
                <w:lang w:val="en-US"/>
              </w:rPr>
              <w:t>97</w:t>
            </w:r>
            <w:r w:rsidR="0063119F">
              <w:rPr>
                <w:rFonts w:ascii="Arial" w:hAnsi="Arial" w:cs="Arial"/>
                <w:sz w:val="22"/>
                <w:szCs w:val="16"/>
                <w:lang w:val="en-US"/>
              </w:rPr>
              <w:t>.</w:t>
            </w:r>
            <w:r>
              <w:rPr>
                <w:rFonts w:ascii="Arial" w:hAnsi="Arial" w:cs="Arial"/>
                <w:sz w:val="22"/>
                <w:szCs w:val="16"/>
                <w:lang w:val="en-US"/>
              </w:rPr>
              <w:t>5</w:t>
            </w:r>
          </w:p>
          <w:p w:rsidR="00C50CA2" w:rsidRDefault="00C50CA2">
            <w:pPr>
              <w:jc w:val="center"/>
              <w:rPr>
                <w:rFonts w:ascii="Arial" w:hAnsi="Arial" w:cs="Arial"/>
                <w:sz w:val="22"/>
                <w:szCs w:val="16"/>
                <w:lang w:val="en-US"/>
              </w:rPr>
            </w:pPr>
          </w:p>
        </w:tc>
        <w:tc>
          <w:tcPr>
            <w:tcW w:w="1440" w:type="dxa"/>
            <w:vAlign w:val="bottom"/>
          </w:tcPr>
          <w:p w:rsidR="00C50CA2" w:rsidRDefault="00C50CA2">
            <w:pPr>
              <w:jc w:val="center"/>
              <w:rPr>
                <w:rFonts w:ascii="Arial" w:hAnsi="Arial" w:cs="Arial"/>
                <w:sz w:val="22"/>
                <w:szCs w:val="16"/>
                <w:lang w:val="en-US"/>
              </w:rPr>
            </w:pPr>
            <w:r>
              <w:rPr>
                <w:rFonts w:ascii="Arial" w:hAnsi="Arial" w:cs="Arial"/>
                <w:sz w:val="22"/>
                <w:szCs w:val="16"/>
                <w:lang w:val="en-US"/>
              </w:rPr>
              <w:t>151</w:t>
            </w:r>
            <w:r w:rsidR="0063119F">
              <w:rPr>
                <w:rFonts w:ascii="Arial" w:hAnsi="Arial" w:cs="Arial"/>
                <w:sz w:val="22"/>
                <w:szCs w:val="16"/>
                <w:lang w:val="en-US"/>
              </w:rPr>
              <w:t>.</w:t>
            </w:r>
            <w:r>
              <w:rPr>
                <w:rFonts w:ascii="Arial" w:hAnsi="Arial" w:cs="Arial"/>
                <w:sz w:val="22"/>
                <w:szCs w:val="16"/>
                <w:lang w:val="en-US"/>
              </w:rPr>
              <w:t>0</w:t>
            </w:r>
          </w:p>
          <w:p w:rsidR="00C50CA2" w:rsidRDefault="00C50CA2">
            <w:pPr>
              <w:jc w:val="center"/>
              <w:rPr>
                <w:rFonts w:ascii="Arial" w:hAnsi="Arial" w:cs="Arial"/>
                <w:sz w:val="22"/>
                <w:szCs w:val="16"/>
                <w:lang w:val="en-US"/>
              </w:rPr>
            </w:pPr>
          </w:p>
        </w:tc>
        <w:tc>
          <w:tcPr>
            <w:tcW w:w="1440" w:type="dxa"/>
            <w:vAlign w:val="bottom"/>
          </w:tcPr>
          <w:p w:rsidR="00C50CA2" w:rsidRDefault="00C50CA2">
            <w:pPr>
              <w:jc w:val="center"/>
              <w:rPr>
                <w:rFonts w:ascii="Arial" w:hAnsi="Arial" w:cs="Arial"/>
                <w:sz w:val="22"/>
                <w:szCs w:val="16"/>
                <w:lang w:val="en-US"/>
              </w:rPr>
            </w:pPr>
            <w:r>
              <w:rPr>
                <w:rFonts w:ascii="Arial" w:hAnsi="Arial" w:cs="Arial"/>
                <w:sz w:val="22"/>
                <w:szCs w:val="16"/>
                <w:lang w:val="en-US"/>
              </w:rPr>
              <w:t>31</w:t>
            </w:r>
            <w:r w:rsidR="0063119F">
              <w:rPr>
                <w:rFonts w:ascii="Arial" w:hAnsi="Arial" w:cs="Arial"/>
                <w:sz w:val="22"/>
                <w:szCs w:val="16"/>
                <w:lang w:val="en-US"/>
              </w:rPr>
              <w:t>.</w:t>
            </w:r>
            <w:r>
              <w:rPr>
                <w:rFonts w:ascii="Arial" w:hAnsi="Arial" w:cs="Arial"/>
                <w:sz w:val="22"/>
                <w:szCs w:val="16"/>
                <w:lang w:val="en-US"/>
              </w:rPr>
              <w:t>0</w:t>
            </w:r>
          </w:p>
          <w:p w:rsidR="00C50CA2" w:rsidRDefault="00C50CA2">
            <w:pPr>
              <w:jc w:val="center"/>
              <w:rPr>
                <w:rFonts w:ascii="Arial" w:hAnsi="Arial" w:cs="Arial"/>
                <w:sz w:val="22"/>
                <w:szCs w:val="16"/>
                <w:lang w:val="en-US"/>
              </w:rPr>
            </w:pPr>
          </w:p>
        </w:tc>
        <w:tc>
          <w:tcPr>
            <w:tcW w:w="1260" w:type="dxa"/>
            <w:vAlign w:val="bottom"/>
          </w:tcPr>
          <w:p w:rsidR="00C50CA2" w:rsidRDefault="00C50CA2">
            <w:pPr>
              <w:jc w:val="center"/>
              <w:rPr>
                <w:rFonts w:ascii="Arial" w:hAnsi="Arial" w:cs="Arial"/>
                <w:sz w:val="22"/>
                <w:szCs w:val="16"/>
                <w:lang w:val="en-US"/>
              </w:rPr>
            </w:pPr>
            <w:r>
              <w:rPr>
                <w:rFonts w:ascii="Arial" w:hAnsi="Arial" w:cs="Arial"/>
                <w:sz w:val="22"/>
                <w:szCs w:val="16"/>
                <w:lang w:val="en-US"/>
              </w:rPr>
              <w:t>130</w:t>
            </w:r>
            <w:r w:rsidR="0063119F">
              <w:rPr>
                <w:rFonts w:ascii="Arial" w:hAnsi="Arial" w:cs="Arial"/>
                <w:sz w:val="22"/>
                <w:szCs w:val="16"/>
                <w:lang w:val="en-US"/>
              </w:rPr>
              <w:t>.</w:t>
            </w:r>
            <w:r>
              <w:rPr>
                <w:rFonts w:ascii="Arial" w:hAnsi="Arial" w:cs="Arial"/>
                <w:sz w:val="22"/>
                <w:szCs w:val="16"/>
                <w:lang w:val="en-US"/>
              </w:rPr>
              <w:t>0</w:t>
            </w:r>
          </w:p>
          <w:p w:rsidR="00C50CA2" w:rsidRDefault="00C50CA2">
            <w:pPr>
              <w:jc w:val="center"/>
              <w:rPr>
                <w:rFonts w:ascii="Arial" w:hAnsi="Arial" w:cs="Arial"/>
                <w:sz w:val="22"/>
                <w:szCs w:val="16"/>
                <w:lang w:val="en-US"/>
              </w:rPr>
            </w:pPr>
          </w:p>
        </w:tc>
      </w:tr>
    </w:tbl>
    <w:p w:rsidR="00C50CA2" w:rsidRDefault="00C50CA2">
      <w:pPr>
        <w:pStyle w:val="Leipteksti"/>
        <w:rPr>
          <w:sz w:val="22"/>
        </w:rPr>
      </w:pPr>
    </w:p>
    <w:p w:rsidR="00C50CA2" w:rsidRDefault="00C50CA2">
      <w:pPr>
        <w:pStyle w:val="Leipteksti"/>
        <w:rPr>
          <w:sz w:val="22"/>
        </w:rPr>
      </w:pPr>
    </w:p>
    <w:p w:rsidR="00C50CA2" w:rsidRDefault="00C50CA2">
      <w:pPr>
        <w:pStyle w:val="Leipteksti"/>
        <w:rPr>
          <w:sz w:val="22"/>
        </w:rPr>
      </w:pPr>
    </w:p>
    <w:p w:rsidR="00C50CA2" w:rsidRDefault="00C50CA2">
      <w:pPr>
        <w:pStyle w:val="Leipteksti"/>
        <w:jc w:val="center"/>
        <w:rPr>
          <w:sz w:val="22"/>
        </w:rPr>
      </w:pPr>
    </w:p>
    <w:p w:rsidR="00C50CA2" w:rsidRDefault="00C50CA2">
      <w:pPr>
        <w:pStyle w:val="Leipteksti"/>
        <w:jc w:val="center"/>
        <w:rPr>
          <w:b/>
          <w:bCs/>
          <w:sz w:val="22"/>
        </w:rPr>
      </w:pPr>
      <w:r>
        <w:rPr>
          <w:b/>
          <w:bCs/>
          <w:sz w:val="22"/>
        </w:rPr>
        <w:t>Table 2.</w:t>
      </w:r>
      <w:r>
        <w:rPr>
          <w:b/>
          <w:bCs/>
          <w:sz w:val="22"/>
        </w:rPr>
        <w:tab/>
        <w:t xml:space="preserve">Information on socioeconomic assumptions used </w:t>
      </w:r>
    </w:p>
    <w:p w:rsidR="00C50CA2" w:rsidRDefault="00C50CA2">
      <w:pPr>
        <w:pStyle w:val="Leipteksti"/>
        <w:jc w:val="center"/>
        <w:rPr>
          <w:b/>
          <w:bCs/>
          <w:sz w:val="22"/>
        </w:rPr>
      </w:pPr>
      <w:r>
        <w:rPr>
          <w:b/>
          <w:bCs/>
          <w:sz w:val="22"/>
        </w:rPr>
        <w:t>in preparation of Finnish emission projections for the year 2010</w:t>
      </w:r>
    </w:p>
    <w:p w:rsidR="00C50CA2" w:rsidRDefault="00C50CA2">
      <w:pPr>
        <w:pStyle w:val="Leipteksti"/>
        <w:rPr>
          <w:b/>
          <w:bCs/>
          <w:sz w:val="22"/>
        </w:rPr>
      </w:pPr>
    </w:p>
    <w:tbl>
      <w:tblPr>
        <w:tblW w:w="0" w:type="auto"/>
        <w:tblInd w:w="1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80"/>
        <w:gridCol w:w="3060"/>
      </w:tblGrid>
      <w:tr w:rsidR="00C50CA2">
        <w:trPr>
          <w:trHeight w:val="567"/>
        </w:trPr>
        <w:tc>
          <w:tcPr>
            <w:tcW w:w="3780" w:type="dxa"/>
            <w:tcBorders>
              <w:top w:val="single" w:sz="4" w:space="0" w:color="auto"/>
              <w:left w:val="single" w:sz="4" w:space="0" w:color="auto"/>
              <w:bottom w:val="single" w:sz="4" w:space="0" w:color="auto"/>
              <w:right w:val="single" w:sz="4" w:space="0" w:color="auto"/>
            </w:tcBorders>
          </w:tcPr>
          <w:p w:rsidR="00C50CA2" w:rsidRDefault="00C50CA2">
            <w:pPr>
              <w:pStyle w:val="Leipteksti"/>
              <w:rPr>
                <w:b/>
                <w:bCs/>
                <w:sz w:val="22"/>
              </w:rPr>
            </w:pPr>
          </w:p>
          <w:p w:rsidR="00C50CA2" w:rsidRDefault="00C50CA2">
            <w:pPr>
              <w:pStyle w:val="Leipteksti"/>
              <w:rPr>
                <w:b/>
                <w:bCs/>
                <w:sz w:val="22"/>
              </w:rPr>
            </w:pPr>
            <w:r>
              <w:rPr>
                <w:b/>
                <w:bCs/>
                <w:sz w:val="22"/>
              </w:rPr>
              <w:t>Primary energy [PJ/a] total 2010</w:t>
            </w:r>
          </w:p>
          <w:p w:rsidR="00C50CA2" w:rsidRDefault="00C50CA2">
            <w:pPr>
              <w:pStyle w:val="Leipteksti"/>
              <w:rPr>
                <w:b/>
                <w:bCs/>
                <w:sz w:val="22"/>
              </w:rPr>
            </w:pPr>
          </w:p>
          <w:p w:rsidR="00C50CA2" w:rsidRDefault="00C50CA2">
            <w:pPr>
              <w:pStyle w:val="Leipteksti"/>
              <w:rPr>
                <w:i/>
                <w:iCs/>
                <w:sz w:val="22"/>
              </w:rPr>
            </w:pPr>
            <w:r>
              <w:rPr>
                <w:i/>
                <w:iCs/>
                <w:sz w:val="22"/>
              </w:rPr>
              <w:t>Source:   Environmental Impact A</w:t>
            </w:r>
            <w:r>
              <w:rPr>
                <w:i/>
                <w:iCs/>
                <w:sz w:val="22"/>
              </w:rPr>
              <w:t>s</w:t>
            </w:r>
            <w:r>
              <w:rPr>
                <w:i/>
                <w:iCs/>
                <w:sz w:val="22"/>
              </w:rPr>
              <w:t>sessment of  the  National Climate Strategy</w:t>
            </w:r>
          </w:p>
        </w:tc>
        <w:tc>
          <w:tcPr>
            <w:tcW w:w="3060" w:type="dxa"/>
            <w:tcBorders>
              <w:top w:val="single" w:sz="4" w:space="0" w:color="auto"/>
              <w:left w:val="single" w:sz="4" w:space="0" w:color="auto"/>
              <w:bottom w:val="single" w:sz="4" w:space="0" w:color="auto"/>
              <w:right w:val="single" w:sz="4" w:space="0" w:color="auto"/>
            </w:tcBorders>
          </w:tcPr>
          <w:p w:rsidR="00C50CA2" w:rsidRDefault="00C50CA2">
            <w:pPr>
              <w:pStyle w:val="Leipteksti"/>
              <w:jc w:val="center"/>
              <w:rPr>
                <w:b/>
                <w:bCs/>
                <w:sz w:val="22"/>
              </w:rPr>
            </w:pPr>
          </w:p>
          <w:p w:rsidR="00C50CA2" w:rsidRDefault="00C50CA2">
            <w:pPr>
              <w:pStyle w:val="Leipteksti"/>
              <w:jc w:val="center"/>
              <w:rPr>
                <w:b/>
                <w:bCs/>
                <w:sz w:val="22"/>
              </w:rPr>
            </w:pPr>
            <w:r>
              <w:rPr>
                <w:b/>
                <w:bCs/>
                <w:sz w:val="22"/>
              </w:rPr>
              <w:t>SUM</w:t>
            </w:r>
          </w:p>
        </w:tc>
      </w:tr>
      <w:tr w:rsidR="00C50CA2">
        <w:trPr>
          <w:trHeight w:val="397"/>
        </w:trPr>
        <w:tc>
          <w:tcPr>
            <w:tcW w:w="3780" w:type="dxa"/>
            <w:tcBorders>
              <w:top w:val="single" w:sz="4" w:space="0" w:color="auto"/>
            </w:tcBorders>
          </w:tcPr>
          <w:p w:rsidR="00C50CA2" w:rsidRDefault="00C50CA2">
            <w:pPr>
              <w:pStyle w:val="Leipteksti"/>
              <w:rPr>
                <w:sz w:val="22"/>
              </w:rPr>
            </w:pPr>
            <w:r>
              <w:rPr>
                <w:sz w:val="22"/>
              </w:rPr>
              <w:t xml:space="preserve">           peat</w:t>
            </w:r>
          </w:p>
        </w:tc>
        <w:tc>
          <w:tcPr>
            <w:tcW w:w="3060" w:type="dxa"/>
            <w:tcBorders>
              <w:top w:val="single" w:sz="4" w:space="0" w:color="auto"/>
            </w:tcBorders>
          </w:tcPr>
          <w:p w:rsidR="00C50CA2" w:rsidRDefault="00C50CA2" w:rsidP="0063119F">
            <w:pPr>
              <w:pStyle w:val="Leipteksti"/>
              <w:jc w:val="center"/>
              <w:rPr>
                <w:sz w:val="22"/>
              </w:rPr>
            </w:pPr>
            <w:r>
              <w:rPr>
                <w:sz w:val="22"/>
              </w:rPr>
              <w:t>73</w:t>
            </w:r>
            <w:r w:rsidR="0063119F">
              <w:rPr>
                <w:sz w:val="22"/>
              </w:rPr>
              <w:t>.</w:t>
            </w:r>
            <w:r>
              <w:rPr>
                <w:sz w:val="22"/>
              </w:rPr>
              <w:t>13</w:t>
            </w:r>
          </w:p>
        </w:tc>
      </w:tr>
      <w:tr w:rsidR="00C50CA2">
        <w:trPr>
          <w:trHeight w:val="397"/>
        </w:trPr>
        <w:tc>
          <w:tcPr>
            <w:tcW w:w="3780" w:type="dxa"/>
          </w:tcPr>
          <w:p w:rsidR="00C50CA2" w:rsidRDefault="00C50CA2">
            <w:pPr>
              <w:pStyle w:val="Leipteksti"/>
              <w:rPr>
                <w:sz w:val="22"/>
              </w:rPr>
            </w:pPr>
            <w:r>
              <w:rPr>
                <w:sz w:val="22"/>
              </w:rPr>
              <w:t xml:space="preserve">           hard coal</w:t>
            </w:r>
          </w:p>
        </w:tc>
        <w:tc>
          <w:tcPr>
            <w:tcW w:w="3060" w:type="dxa"/>
          </w:tcPr>
          <w:p w:rsidR="00C50CA2" w:rsidRDefault="00C50CA2" w:rsidP="0063119F">
            <w:pPr>
              <w:pStyle w:val="Leipteksti"/>
              <w:jc w:val="center"/>
              <w:rPr>
                <w:sz w:val="22"/>
              </w:rPr>
            </w:pPr>
            <w:r>
              <w:rPr>
                <w:sz w:val="22"/>
              </w:rPr>
              <w:t>76</w:t>
            </w:r>
            <w:r w:rsidR="0063119F">
              <w:rPr>
                <w:sz w:val="22"/>
              </w:rPr>
              <w:t>.</w:t>
            </w:r>
            <w:r>
              <w:rPr>
                <w:sz w:val="22"/>
              </w:rPr>
              <w:t>2</w:t>
            </w:r>
          </w:p>
        </w:tc>
      </w:tr>
      <w:tr w:rsidR="00C50CA2">
        <w:trPr>
          <w:trHeight w:val="397"/>
        </w:trPr>
        <w:tc>
          <w:tcPr>
            <w:tcW w:w="3780" w:type="dxa"/>
          </w:tcPr>
          <w:p w:rsidR="00C50CA2" w:rsidRDefault="00C50CA2">
            <w:pPr>
              <w:pStyle w:val="Leipteksti"/>
              <w:rPr>
                <w:sz w:val="22"/>
              </w:rPr>
            </w:pPr>
            <w:r>
              <w:rPr>
                <w:sz w:val="22"/>
              </w:rPr>
              <w:t xml:space="preserve">           coke</w:t>
            </w:r>
          </w:p>
        </w:tc>
        <w:tc>
          <w:tcPr>
            <w:tcW w:w="3060" w:type="dxa"/>
          </w:tcPr>
          <w:p w:rsidR="00C50CA2" w:rsidRDefault="00C50CA2" w:rsidP="0063119F">
            <w:pPr>
              <w:pStyle w:val="Leipteksti"/>
              <w:jc w:val="center"/>
              <w:rPr>
                <w:sz w:val="22"/>
              </w:rPr>
            </w:pPr>
            <w:r>
              <w:rPr>
                <w:sz w:val="22"/>
              </w:rPr>
              <w:t>7</w:t>
            </w:r>
            <w:r w:rsidR="0063119F">
              <w:rPr>
                <w:sz w:val="22"/>
              </w:rPr>
              <w:t>.</w:t>
            </w:r>
            <w:r>
              <w:rPr>
                <w:sz w:val="22"/>
              </w:rPr>
              <w:t>3</w:t>
            </w:r>
          </w:p>
        </w:tc>
      </w:tr>
      <w:tr w:rsidR="00C50CA2">
        <w:trPr>
          <w:trHeight w:val="397"/>
        </w:trPr>
        <w:tc>
          <w:tcPr>
            <w:tcW w:w="3780" w:type="dxa"/>
          </w:tcPr>
          <w:p w:rsidR="00C50CA2" w:rsidRDefault="00C50CA2">
            <w:pPr>
              <w:pStyle w:val="Leipteksti"/>
              <w:rPr>
                <w:sz w:val="22"/>
              </w:rPr>
            </w:pPr>
            <w:r>
              <w:rPr>
                <w:sz w:val="22"/>
              </w:rPr>
              <w:t xml:space="preserve">           wood</w:t>
            </w:r>
          </w:p>
        </w:tc>
        <w:tc>
          <w:tcPr>
            <w:tcW w:w="3060" w:type="dxa"/>
          </w:tcPr>
          <w:p w:rsidR="00C50CA2" w:rsidRDefault="00C50CA2">
            <w:pPr>
              <w:pStyle w:val="Leipteksti"/>
              <w:jc w:val="center"/>
              <w:rPr>
                <w:sz w:val="22"/>
              </w:rPr>
            </w:pPr>
            <w:r>
              <w:rPr>
                <w:sz w:val="22"/>
              </w:rPr>
              <w:t>148</w:t>
            </w:r>
          </w:p>
        </w:tc>
      </w:tr>
      <w:tr w:rsidR="00C50CA2">
        <w:trPr>
          <w:trHeight w:val="397"/>
        </w:trPr>
        <w:tc>
          <w:tcPr>
            <w:tcW w:w="3780" w:type="dxa"/>
          </w:tcPr>
          <w:p w:rsidR="00C50CA2" w:rsidRDefault="00C50CA2">
            <w:pPr>
              <w:pStyle w:val="Leipteksti"/>
              <w:rPr>
                <w:sz w:val="22"/>
              </w:rPr>
            </w:pPr>
            <w:r>
              <w:rPr>
                <w:sz w:val="22"/>
              </w:rPr>
              <w:t xml:space="preserve">           black liquor/waste</w:t>
            </w:r>
          </w:p>
        </w:tc>
        <w:tc>
          <w:tcPr>
            <w:tcW w:w="3060" w:type="dxa"/>
          </w:tcPr>
          <w:p w:rsidR="00C50CA2" w:rsidRDefault="00C50CA2">
            <w:pPr>
              <w:pStyle w:val="Leipteksti"/>
              <w:jc w:val="center"/>
              <w:rPr>
                <w:sz w:val="22"/>
              </w:rPr>
            </w:pPr>
            <w:r>
              <w:rPr>
                <w:sz w:val="22"/>
              </w:rPr>
              <w:t>153</w:t>
            </w:r>
          </w:p>
        </w:tc>
      </w:tr>
      <w:tr w:rsidR="00C50CA2">
        <w:trPr>
          <w:trHeight w:val="397"/>
        </w:trPr>
        <w:tc>
          <w:tcPr>
            <w:tcW w:w="3780" w:type="dxa"/>
          </w:tcPr>
          <w:p w:rsidR="00C50CA2" w:rsidRDefault="00C50CA2">
            <w:pPr>
              <w:pStyle w:val="Leipteksti"/>
              <w:rPr>
                <w:sz w:val="22"/>
              </w:rPr>
            </w:pPr>
            <w:r>
              <w:rPr>
                <w:sz w:val="22"/>
              </w:rPr>
              <w:t xml:space="preserve">           heavy fuel oil</w:t>
            </w:r>
          </w:p>
        </w:tc>
        <w:tc>
          <w:tcPr>
            <w:tcW w:w="3060" w:type="dxa"/>
          </w:tcPr>
          <w:p w:rsidR="00C50CA2" w:rsidRDefault="00C50CA2" w:rsidP="0063119F">
            <w:pPr>
              <w:pStyle w:val="Leipteksti"/>
              <w:jc w:val="center"/>
              <w:rPr>
                <w:sz w:val="22"/>
              </w:rPr>
            </w:pPr>
            <w:r>
              <w:rPr>
                <w:sz w:val="22"/>
              </w:rPr>
              <w:t>70</w:t>
            </w:r>
            <w:r w:rsidR="0063119F">
              <w:rPr>
                <w:sz w:val="22"/>
              </w:rPr>
              <w:t>.</w:t>
            </w:r>
            <w:r>
              <w:rPr>
                <w:sz w:val="22"/>
              </w:rPr>
              <w:t>06</w:t>
            </w:r>
          </w:p>
        </w:tc>
      </w:tr>
      <w:tr w:rsidR="00C50CA2">
        <w:trPr>
          <w:trHeight w:val="397"/>
        </w:trPr>
        <w:tc>
          <w:tcPr>
            <w:tcW w:w="3780" w:type="dxa"/>
          </w:tcPr>
          <w:p w:rsidR="00C50CA2" w:rsidRDefault="00C50CA2">
            <w:pPr>
              <w:pStyle w:val="Leipteksti"/>
              <w:rPr>
                <w:sz w:val="22"/>
              </w:rPr>
            </w:pPr>
            <w:r>
              <w:rPr>
                <w:sz w:val="22"/>
              </w:rPr>
              <w:t xml:space="preserve">          medium distillates</w:t>
            </w:r>
          </w:p>
        </w:tc>
        <w:tc>
          <w:tcPr>
            <w:tcW w:w="3060" w:type="dxa"/>
          </w:tcPr>
          <w:p w:rsidR="00C50CA2" w:rsidRDefault="00C50CA2" w:rsidP="0063119F">
            <w:pPr>
              <w:pStyle w:val="Leipteksti"/>
              <w:jc w:val="center"/>
              <w:rPr>
                <w:sz w:val="22"/>
              </w:rPr>
            </w:pPr>
            <w:r>
              <w:rPr>
                <w:sz w:val="22"/>
              </w:rPr>
              <w:t>179</w:t>
            </w:r>
            <w:r w:rsidR="0063119F">
              <w:rPr>
                <w:sz w:val="22"/>
              </w:rPr>
              <w:t>.</w:t>
            </w:r>
            <w:r>
              <w:rPr>
                <w:sz w:val="22"/>
              </w:rPr>
              <w:t>12</w:t>
            </w:r>
          </w:p>
        </w:tc>
      </w:tr>
      <w:tr w:rsidR="00C50CA2">
        <w:trPr>
          <w:trHeight w:val="397"/>
        </w:trPr>
        <w:tc>
          <w:tcPr>
            <w:tcW w:w="3780" w:type="dxa"/>
          </w:tcPr>
          <w:p w:rsidR="00C50CA2" w:rsidRDefault="00C50CA2">
            <w:pPr>
              <w:pStyle w:val="Leipteksti"/>
              <w:rPr>
                <w:sz w:val="22"/>
              </w:rPr>
            </w:pPr>
            <w:r>
              <w:rPr>
                <w:sz w:val="22"/>
              </w:rPr>
              <w:t xml:space="preserve">          light fractions</w:t>
            </w:r>
          </w:p>
        </w:tc>
        <w:tc>
          <w:tcPr>
            <w:tcW w:w="3060" w:type="dxa"/>
          </w:tcPr>
          <w:p w:rsidR="00C50CA2" w:rsidRDefault="00C50CA2" w:rsidP="0063119F">
            <w:pPr>
              <w:pStyle w:val="Leipteksti"/>
              <w:jc w:val="center"/>
              <w:rPr>
                <w:sz w:val="22"/>
              </w:rPr>
            </w:pPr>
            <w:r>
              <w:rPr>
                <w:sz w:val="22"/>
              </w:rPr>
              <w:t>81</w:t>
            </w:r>
            <w:r w:rsidR="0063119F">
              <w:rPr>
                <w:sz w:val="22"/>
              </w:rPr>
              <w:t>.</w:t>
            </w:r>
            <w:r>
              <w:rPr>
                <w:sz w:val="22"/>
              </w:rPr>
              <w:t>97</w:t>
            </w:r>
          </w:p>
        </w:tc>
      </w:tr>
      <w:tr w:rsidR="00C50CA2">
        <w:trPr>
          <w:trHeight w:val="397"/>
        </w:trPr>
        <w:tc>
          <w:tcPr>
            <w:tcW w:w="3780" w:type="dxa"/>
          </w:tcPr>
          <w:p w:rsidR="00C50CA2" w:rsidRDefault="00C50CA2">
            <w:pPr>
              <w:pStyle w:val="Leipteksti"/>
              <w:rPr>
                <w:sz w:val="22"/>
              </w:rPr>
            </w:pPr>
            <w:r>
              <w:rPr>
                <w:sz w:val="22"/>
              </w:rPr>
              <w:t xml:space="preserve">          gas</w:t>
            </w:r>
          </w:p>
        </w:tc>
        <w:tc>
          <w:tcPr>
            <w:tcW w:w="3060" w:type="dxa"/>
          </w:tcPr>
          <w:p w:rsidR="00C50CA2" w:rsidRDefault="00C50CA2" w:rsidP="0063119F">
            <w:pPr>
              <w:pStyle w:val="Leipteksti"/>
              <w:jc w:val="center"/>
              <w:rPr>
                <w:sz w:val="22"/>
              </w:rPr>
            </w:pPr>
            <w:r>
              <w:rPr>
                <w:sz w:val="22"/>
              </w:rPr>
              <w:t>248</w:t>
            </w:r>
            <w:r w:rsidR="0063119F">
              <w:rPr>
                <w:sz w:val="22"/>
              </w:rPr>
              <w:t>.</w:t>
            </w:r>
            <w:r>
              <w:rPr>
                <w:sz w:val="22"/>
              </w:rPr>
              <w:t>39</w:t>
            </w:r>
          </w:p>
        </w:tc>
      </w:tr>
      <w:tr w:rsidR="00C50CA2">
        <w:trPr>
          <w:trHeight w:val="397"/>
        </w:trPr>
        <w:tc>
          <w:tcPr>
            <w:tcW w:w="3780" w:type="dxa"/>
          </w:tcPr>
          <w:p w:rsidR="00C50CA2" w:rsidRDefault="00C50CA2">
            <w:pPr>
              <w:pStyle w:val="Leipteksti"/>
              <w:rPr>
                <w:sz w:val="22"/>
              </w:rPr>
            </w:pPr>
            <w:r>
              <w:rPr>
                <w:sz w:val="22"/>
              </w:rPr>
              <w:t xml:space="preserve">         SUM fuel</w:t>
            </w:r>
          </w:p>
        </w:tc>
        <w:tc>
          <w:tcPr>
            <w:tcW w:w="3060" w:type="dxa"/>
          </w:tcPr>
          <w:p w:rsidR="00C50CA2" w:rsidRDefault="00C50CA2" w:rsidP="0063119F">
            <w:pPr>
              <w:pStyle w:val="Leipteksti"/>
              <w:jc w:val="center"/>
              <w:rPr>
                <w:sz w:val="22"/>
              </w:rPr>
            </w:pPr>
            <w:r>
              <w:rPr>
                <w:sz w:val="22"/>
              </w:rPr>
              <w:t>1037</w:t>
            </w:r>
            <w:r w:rsidR="0063119F">
              <w:rPr>
                <w:sz w:val="22"/>
              </w:rPr>
              <w:t>.</w:t>
            </w:r>
            <w:r>
              <w:rPr>
                <w:sz w:val="22"/>
              </w:rPr>
              <w:t>17</w:t>
            </w:r>
          </w:p>
        </w:tc>
      </w:tr>
      <w:tr w:rsidR="00C50CA2">
        <w:trPr>
          <w:trHeight w:val="397"/>
        </w:trPr>
        <w:tc>
          <w:tcPr>
            <w:tcW w:w="3780" w:type="dxa"/>
          </w:tcPr>
          <w:p w:rsidR="00C50CA2" w:rsidRDefault="00C50CA2">
            <w:pPr>
              <w:pStyle w:val="Leipteksti"/>
              <w:rPr>
                <w:sz w:val="22"/>
              </w:rPr>
            </w:pPr>
            <w:r>
              <w:rPr>
                <w:sz w:val="22"/>
              </w:rPr>
              <w:t xml:space="preserve">         SUM total</w:t>
            </w:r>
          </w:p>
        </w:tc>
        <w:tc>
          <w:tcPr>
            <w:tcW w:w="3060" w:type="dxa"/>
          </w:tcPr>
          <w:p w:rsidR="00C50CA2" w:rsidRDefault="00C50CA2" w:rsidP="0063119F">
            <w:pPr>
              <w:pStyle w:val="Leipteksti"/>
              <w:jc w:val="center"/>
              <w:rPr>
                <w:sz w:val="22"/>
              </w:rPr>
            </w:pPr>
            <w:r>
              <w:rPr>
                <w:sz w:val="22"/>
              </w:rPr>
              <w:t>1037</w:t>
            </w:r>
            <w:r w:rsidR="0063119F">
              <w:rPr>
                <w:sz w:val="22"/>
              </w:rPr>
              <w:t>.</w:t>
            </w:r>
            <w:r>
              <w:rPr>
                <w:sz w:val="22"/>
              </w:rPr>
              <w:t>17</w:t>
            </w:r>
          </w:p>
        </w:tc>
      </w:tr>
    </w:tbl>
    <w:p w:rsidR="00C50CA2" w:rsidRDefault="00C50CA2">
      <w:pPr>
        <w:pStyle w:val="Leipteksti"/>
        <w:rPr>
          <w:b/>
          <w:bCs/>
          <w:sz w:val="22"/>
        </w:rPr>
      </w:pPr>
    </w:p>
    <w:p w:rsidR="00C50CA2" w:rsidRDefault="00C50CA2">
      <w:pPr>
        <w:pStyle w:val="Leipteksti"/>
        <w:rPr>
          <w:sz w:val="22"/>
        </w:rPr>
      </w:pPr>
    </w:p>
    <w:p w:rsidR="00C50CA2" w:rsidRDefault="00C50CA2">
      <w:pPr>
        <w:pStyle w:val="Leipteksti"/>
        <w:rPr>
          <w:sz w:val="22"/>
        </w:rPr>
      </w:pPr>
      <w:r>
        <w:rPr>
          <w:sz w:val="22"/>
        </w:rPr>
        <w:t>RAINS model 7.52 IIASA:</w:t>
      </w:r>
    </w:p>
    <w:p w:rsidR="00C50CA2" w:rsidRDefault="00C50CA2">
      <w:pPr>
        <w:pStyle w:val="Leipteksti"/>
        <w:rPr>
          <w:b/>
          <w:bCs/>
          <w:sz w:val="22"/>
        </w:rPr>
      </w:pPr>
    </w:p>
    <w:p w:rsidR="00C50CA2" w:rsidRDefault="00C50CA2">
      <w:pPr>
        <w:pStyle w:val="Leipteksti"/>
        <w:rPr>
          <w:sz w:val="22"/>
          <w:lang w:val="sv-SE"/>
        </w:rPr>
      </w:pPr>
      <w:r>
        <w:rPr>
          <w:sz w:val="22"/>
          <w:lang w:val="sv-SE"/>
        </w:rPr>
        <w:t>Nitrogen oxides:</w:t>
      </w:r>
      <w:r>
        <w:rPr>
          <w:b/>
          <w:bCs/>
          <w:sz w:val="22"/>
          <w:lang w:val="sv-SE"/>
        </w:rPr>
        <w:tab/>
      </w:r>
      <w:r>
        <w:rPr>
          <w:b/>
          <w:bCs/>
          <w:sz w:val="22"/>
          <w:lang w:val="sv-SE"/>
        </w:rPr>
        <w:tab/>
      </w:r>
      <w:r>
        <w:rPr>
          <w:sz w:val="22"/>
          <w:lang w:val="sv-SE"/>
        </w:rPr>
        <w:t xml:space="preserve">Scenario: </w:t>
      </w:r>
      <w:r>
        <w:rPr>
          <w:sz w:val="22"/>
          <w:lang w:val="sv-SE"/>
        </w:rPr>
        <w:tab/>
      </w:r>
      <w:r>
        <w:rPr>
          <w:sz w:val="22"/>
          <w:lang w:val="sv-SE"/>
        </w:rPr>
        <w:tab/>
      </w:r>
      <w:r>
        <w:rPr>
          <w:sz w:val="22"/>
          <w:lang w:val="sv-SE"/>
        </w:rPr>
        <w:tab/>
      </w:r>
      <w:r>
        <w:rPr>
          <w:sz w:val="22"/>
          <w:lang w:val="sv-SE"/>
        </w:rPr>
        <w:tab/>
        <w:t>NBL_NCS</w:t>
      </w:r>
    </w:p>
    <w:p w:rsidR="00C50CA2" w:rsidRDefault="00C50CA2">
      <w:pPr>
        <w:pStyle w:val="Leipteksti"/>
        <w:jc w:val="both"/>
        <w:rPr>
          <w:sz w:val="22"/>
        </w:rPr>
      </w:pPr>
      <w:r>
        <w:rPr>
          <w:sz w:val="22"/>
          <w:lang w:val="sv-SE"/>
        </w:rPr>
        <w:tab/>
      </w:r>
      <w:r>
        <w:rPr>
          <w:sz w:val="22"/>
          <w:lang w:val="sv-SE"/>
        </w:rPr>
        <w:tab/>
      </w:r>
      <w:r>
        <w:rPr>
          <w:sz w:val="22"/>
          <w:lang w:val="sv-SE"/>
        </w:rPr>
        <w:tab/>
      </w:r>
      <w:r>
        <w:rPr>
          <w:sz w:val="22"/>
          <w:lang w:val="sv-SE"/>
        </w:rPr>
        <w:tab/>
      </w:r>
      <w:r>
        <w:rPr>
          <w:sz w:val="22"/>
          <w:lang w:val="sv-SE"/>
        </w:rPr>
        <w:tab/>
      </w:r>
      <w:r>
        <w:rPr>
          <w:sz w:val="22"/>
          <w:lang w:val="sv-SE"/>
        </w:rPr>
        <w:tab/>
      </w:r>
      <w:r>
        <w:rPr>
          <w:sz w:val="22"/>
          <w:lang w:val="sv-SE"/>
        </w:rPr>
        <w:tab/>
      </w:r>
      <w:r>
        <w:rPr>
          <w:sz w:val="22"/>
        </w:rPr>
        <w:t>Strategy:</w:t>
      </w:r>
      <w:r>
        <w:rPr>
          <w:sz w:val="22"/>
        </w:rPr>
        <w:tab/>
      </w:r>
      <w:r>
        <w:rPr>
          <w:sz w:val="22"/>
        </w:rPr>
        <w:tab/>
      </w:r>
      <w:r>
        <w:rPr>
          <w:sz w:val="22"/>
        </w:rPr>
        <w:tab/>
      </w:r>
      <w:r>
        <w:rPr>
          <w:sz w:val="22"/>
        </w:rPr>
        <w:tab/>
        <w:t>NFIN</w:t>
      </w:r>
    </w:p>
    <w:p w:rsidR="00C50CA2" w:rsidRDefault="00C50CA2">
      <w:pPr>
        <w:pStyle w:val="Leipteksti"/>
        <w:rPr>
          <w:sz w:val="22"/>
        </w:rPr>
      </w:pPr>
      <w:r>
        <w:rPr>
          <w:sz w:val="22"/>
        </w:rPr>
        <w:tab/>
      </w:r>
      <w:r>
        <w:rPr>
          <w:sz w:val="22"/>
        </w:rPr>
        <w:tab/>
      </w:r>
      <w:r>
        <w:rPr>
          <w:sz w:val="22"/>
        </w:rPr>
        <w:tab/>
      </w:r>
      <w:r>
        <w:rPr>
          <w:sz w:val="22"/>
        </w:rPr>
        <w:tab/>
      </w:r>
      <w:r>
        <w:rPr>
          <w:sz w:val="22"/>
        </w:rPr>
        <w:tab/>
      </w:r>
      <w:r>
        <w:rPr>
          <w:sz w:val="22"/>
        </w:rPr>
        <w:tab/>
      </w:r>
      <w:r>
        <w:rPr>
          <w:sz w:val="22"/>
        </w:rPr>
        <w:tab/>
        <w:t>Energy pathway:</w:t>
      </w:r>
      <w:r>
        <w:rPr>
          <w:sz w:val="22"/>
        </w:rPr>
        <w:tab/>
      </w:r>
      <w:r>
        <w:rPr>
          <w:sz w:val="22"/>
        </w:rPr>
        <w:tab/>
        <w:t>F</w:t>
      </w:r>
    </w:p>
    <w:p w:rsidR="00C50CA2" w:rsidRDefault="00C50CA2">
      <w:pPr>
        <w:pStyle w:val="Leipteksti"/>
        <w:rPr>
          <w:sz w:val="22"/>
        </w:rPr>
      </w:pPr>
    </w:p>
    <w:p w:rsidR="00C50CA2" w:rsidRDefault="00C50CA2">
      <w:pPr>
        <w:pStyle w:val="Leipteksti"/>
        <w:rPr>
          <w:sz w:val="22"/>
          <w:lang w:val="sv-SE"/>
        </w:rPr>
      </w:pPr>
      <w:r>
        <w:rPr>
          <w:sz w:val="22"/>
          <w:lang w:val="sv-SE"/>
        </w:rPr>
        <w:t>Sulphur oxide:</w:t>
      </w:r>
      <w:r>
        <w:rPr>
          <w:sz w:val="22"/>
          <w:lang w:val="sv-SE"/>
        </w:rPr>
        <w:tab/>
      </w:r>
      <w:r>
        <w:rPr>
          <w:sz w:val="22"/>
          <w:lang w:val="sv-SE"/>
        </w:rPr>
        <w:tab/>
      </w:r>
      <w:r>
        <w:rPr>
          <w:sz w:val="22"/>
          <w:lang w:val="sv-SE"/>
        </w:rPr>
        <w:tab/>
        <w:t>Scenario:</w:t>
      </w:r>
      <w:r>
        <w:rPr>
          <w:sz w:val="22"/>
          <w:lang w:val="sv-SE"/>
        </w:rPr>
        <w:tab/>
      </w:r>
      <w:r>
        <w:rPr>
          <w:sz w:val="22"/>
          <w:lang w:val="sv-SE"/>
        </w:rPr>
        <w:tab/>
      </w:r>
      <w:r>
        <w:rPr>
          <w:sz w:val="22"/>
          <w:lang w:val="sv-SE"/>
        </w:rPr>
        <w:tab/>
      </w:r>
      <w:r>
        <w:rPr>
          <w:sz w:val="22"/>
          <w:lang w:val="sv-SE"/>
        </w:rPr>
        <w:tab/>
        <w:t>NBL_NCS</w:t>
      </w:r>
    </w:p>
    <w:p w:rsidR="00C50CA2" w:rsidRDefault="00C50CA2">
      <w:pPr>
        <w:pStyle w:val="Leipteksti"/>
        <w:rPr>
          <w:sz w:val="22"/>
        </w:rPr>
      </w:pPr>
      <w:r>
        <w:rPr>
          <w:sz w:val="22"/>
          <w:lang w:val="sv-SE"/>
        </w:rPr>
        <w:tab/>
      </w:r>
      <w:r>
        <w:rPr>
          <w:sz w:val="22"/>
          <w:lang w:val="sv-SE"/>
        </w:rPr>
        <w:tab/>
      </w:r>
      <w:r>
        <w:rPr>
          <w:sz w:val="22"/>
          <w:lang w:val="sv-SE"/>
        </w:rPr>
        <w:tab/>
      </w:r>
      <w:r>
        <w:rPr>
          <w:sz w:val="22"/>
          <w:lang w:val="sv-SE"/>
        </w:rPr>
        <w:tab/>
      </w:r>
      <w:r>
        <w:rPr>
          <w:sz w:val="22"/>
          <w:lang w:val="sv-SE"/>
        </w:rPr>
        <w:tab/>
      </w:r>
      <w:r>
        <w:rPr>
          <w:sz w:val="22"/>
          <w:lang w:val="sv-SE"/>
        </w:rPr>
        <w:tab/>
      </w:r>
      <w:r>
        <w:rPr>
          <w:sz w:val="22"/>
          <w:lang w:val="sv-SE"/>
        </w:rPr>
        <w:tab/>
      </w:r>
      <w:r>
        <w:rPr>
          <w:sz w:val="22"/>
        </w:rPr>
        <w:t>Strategy</w:t>
      </w:r>
      <w:r>
        <w:rPr>
          <w:sz w:val="22"/>
        </w:rPr>
        <w:tab/>
      </w:r>
      <w:r>
        <w:rPr>
          <w:sz w:val="22"/>
        </w:rPr>
        <w:tab/>
      </w:r>
      <w:r>
        <w:rPr>
          <w:sz w:val="22"/>
        </w:rPr>
        <w:tab/>
      </w:r>
      <w:r>
        <w:rPr>
          <w:sz w:val="22"/>
        </w:rPr>
        <w:tab/>
      </w:r>
      <w:r>
        <w:rPr>
          <w:sz w:val="22"/>
        </w:rPr>
        <w:tab/>
        <w:t>SFIN</w:t>
      </w:r>
    </w:p>
    <w:p w:rsidR="00C50CA2" w:rsidRDefault="00C50CA2">
      <w:pPr>
        <w:pStyle w:val="Leipteksti"/>
        <w:rPr>
          <w:sz w:val="24"/>
        </w:rPr>
      </w:pPr>
      <w:r>
        <w:rPr>
          <w:sz w:val="22"/>
        </w:rPr>
        <w:tab/>
      </w:r>
      <w:r>
        <w:rPr>
          <w:sz w:val="22"/>
        </w:rPr>
        <w:tab/>
      </w:r>
      <w:r>
        <w:rPr>
          <w:sz w:val="22"/>
        </w:rPr>
        <w:tab/>
      </w:r>
      <w:r>
        <w:rPr>
          <w:sz w:val="22"/>
        </w:rPr>
        <w:tab/>
      </w:r>
      <w:r>
        <w:rPr>
          <w:sz w:val="22"/>
        </w:rPr>
        <w:tab/>
      </w:r>
      <w:r>
        <w:rPr>
          <w:sz w:val="22"/>
        </w:rPr>
        <w:tab/>
      </w:r>
      <w:r>
        <w:rPr>
          <w:sz w:val="22"/>
        </w:rPr>
        <w:tab/>
        <w:t>Energy pathway:</w:t>
      </w:r>
      <w:r>
        <w:rPr>
          <w:sz w:val="22"/>
        </w:rPr>
        <w:tab/>
      </w:r>
      <w:r>
        <w:rPr>
          <w:sz w:val="22"/>
        </w:rPr>
        <w:tab/>
        <w:t>F</w:t>
      </w:r>
    </w:p>
    <w:p w:rsidR="00C50CA2" w:rsidRDefault="00C50CA2">
      <w:pPr>
        <w:pStyle w:val="Leipteksti"/>
        <w:rPr>
          <w:sz w:val="24"/>
        </w:rPr>
      </w:pPr>
    </w:p>
    <w:p w:rsidR="00C50CA2" w:rsidRDefault="00C50CA2">
      <w:pPr>
        <w:pStyle w:val="Leipteksti"/>
        <w:rPr>
          <w:sz w:val="24"/>
        </w:rPr>
      </w:pPr>
    </w:p>
    <w:p w:rsidR="00C50CA2" w:rsidRDefault="00C50CA2">
      <w:pPr>
        <w:pStyle w:val="Leipteksti"/>
        <w:rPr>
          <w:sz w:val="24"/>
        </w:rPr>
      </w:pPr>
    </w:p>
    <w:p w:rsidR="00C50CA2" w:rsidRDefault="00C50CA2">
      <w:pPr>
        <w:pStyle w:val="Leipteksti"/>
        <w:rPr>
          <w:sz w:val="24"/>
        </w:rPr>
      </w:pPr>
    </w:p>
    <w:sectPr w:rsidR="00C50CA2" w:rsidSect="00CD2DF3">
      <w:pgSz w:w="11906" w:h="16838" w:code="9"/>
      <w:pgMar w:top="709" w:right="1134" w:bottom="70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AF7" w:rsidRDefault="00BD3AF7">
      <w:r>
        <w:separator/>
      </w:r>
    </w:p>
  </w:endnote>
  <w:endnote w:type="continuationSeparator" w:id="0">
    <w:p w:rsidR="00BD3AF7" w:rsidRDefault="00BD3AF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AF7" w:rsidRDefault="00BD3AF7">
      <w:r>
        <w:separator/>
      </w:r>
    </w:p>
  </w:footnote>
  <w:footnote w:type="continuationSeparator" w:id="0">
    <w:p w:rsidR="00BD3AF7" w:rsidRDefault="00BD3A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B4268"/>
    <w:multiLevelType w:val="hybridMultilevel"/>
    <w:tmpl w:val="4E7071C8"/>
    <w:lvl w:ilvl="0" w:tplc="3970C520">
      <w:start w:val="1"/>
      <w:numFmt w:val="decimal"/>
      <w:pStyle w:val="RegPara"/>
      <w:lvlText w:val="%1."/>
      <w:lvlJc w:val="left"/>
      <w:pPr>
        <w:ind w:left="720" w:hanging="360"/>
      </w:pPr>
    </w:lvl>
    <w:lvl w:ilvl="1" w:tplc="A74A59D0">
      <w:numFmt w:val="bullet"/>
      <w:lvlText w:val="–"/>
      <w:lvlJc w:val="left"/>
      <w:pPr>
        <w:ind w:left="1440" w:hanging="360"/>
      </w:pPr>
      <w:rPr>
        <w:rFonts w:ascii="Arial" w:eastAsia="Times New Roman"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B685FBD"/>
    <w:multiLevelType w:val="multilevel"/>
    <w:tmpl w:val="C8DC456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284"/>
  <w:autoHyphenation/>
  <w:hyphenationZone w:val="425"/>
  <w:noPunctuationKerning/>
  <w:characterSpacingControl w:val="doNotCompress"/>
  <w:footnotePr>
    <w:footnote w:id="-1"/>
    <w:footnote w:id="0"/>
  </w:footnotePr>
  <w:endnotePr>
    <w:endnote w:id="-1"/>
    <w:endnote w:id="0"/>
  </w:endnotePr>
  <w:compat/>
  <w:rsids>
    <w:rsidRoot w:val="000A6079"/>
    <w:rsid w:val="000A6079"/>
    <w:rsid w:val="00174ABD"/>
    <w:rsid w:val="0028269A"/>
    <w:rsid w:val="0063119F"/>
    <w:rsid w:val="006742E9"/>
    <w:rsid w:val="00991B14"/>
    <w:rsid w:val="00A320F7"/>
    <w:rsid w:val="00AA218C"/>
    <w:rsid w:val="00BD3AF7"/>
    <w:rsid w:val="00C50CA2"/>
    <w:rsid w:val="00CD2DF3"/>
    <w:rsid w:val="00D0614D"/>
    <w:rsid w:val="00D90EBF"/>
    <w:rsid w:val="00F22313"/>
    <w:rsid w:val="00F52C07"/>
    <w:rsid w:val="00F74F3F"/>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CD2DF3"/>
    <w:rPr>
      <w:sz w:val="24"/>
      <w:szCs w:val="24"/>
    </w:rPr>
  </w:style>
  <w:style w:type="paragraph" w:styleId="Otsikko1">
    <w:name w:val="heading 1"/>
    <w:basedOn w:val="Normaali"/>
    <w:next w:val="Normaali"/>
    <w:qFormat/>
    <w:rsid w:val="00CD2DF3"/>
    <w:pPr>
      <w:keepNext/>
      <w:spacing w:before="120" w:after="120"/>
      <w:outlineLvl w:val="0"/>
    </w:pPr>
    <w:rPr>
      <w:rFonts w:ascii="Arial" w:hAnsi="Arial" w:cs="Arial"/>
      <w:b/>
      <w:bCs/>
      <w:kern w:val="32"/>
      <w:sz w:val="32"/>
      <w:szCs w:val="32"/>
    </w:rPr>
  </w:style>
  <w:style w:type="paragraph" w:styleId="Otsikko2">
    <w:name w:val="heading 2"/>
    <w:basedOn w:val="Normaali"/>
    <w:next w:val="Normaali"/>
    <w:qFormat/>
    <w:rsid w:val="00CD2DF3"/>
    <w:pPr>
      <w:keepNext/>
      <w:spacing w:before="60" w:after="60"/>
      <w:outlineLvl w:val="1"/>
    </w:pPr>
    <w:rPr>
      <w:rFonts w:ascii="Arial" w:hAnsi="Arial" w:cs="Arial"/>
      <w:b/>
      <w:bCs/>
      <w:iCs/>
      <w:sz w:val="28"/>
      <w:szCs w:val="28"/>
    </w:rPr>
  </w:style>
  <w:style w:type="paragraph" w:styleId="Otsikko3">
    <w:name w:val="heading 3"/>
    <w:basedOn w:val="Normaali"/>
    <w:next w:val="Normaali"/>
    <w:qFormat/>
    <w:rsid w:val="00CD2DF3"/>
    <w:pPr>
      <w:keepNext/>
      <w:spacing w:before="60" w:after="60"/>
      <w:outlineLvl w:val="2"/>
    </w:pPr>
    <w:rPr>
      <w:rFonts w:ascii="Arial" w:hAnsi="Arial" w:cs="Arial"/>
      <w:b/>
      <w:bCs/>
      <w:szCs w:val="26"/>
    </w:rPr>
  </w:style>
  <w:style w:type="paragraph" w:styleId="Otsikko4">
    <w:name w:val="heading 4"/>
    <w:next w:val="Normaali"/>
    <w:qFormat/>
    <w:rsid w:val="00CD2DF3"/>
    <w:pPr>
      <w:keepNext/>
      <w:spacing w:before="60" w:after="60"/>
      <w:outlineLvl w:val="3"/>
    </w:pPr>
    <w:rPr>
      <w:b/>
      <w:noProof/>
      <w:sz w:val="24"/>
    </w:rPr>
  </w:style>
  <w:style w:type="paragraph" w:styleId="Otsikko5">
    <w:name w:val="heading 5"/>
    <w:basedOn w:val="Normaali"/>
    <w:next w:val="Normaali"/>
    <w:qFormat/>
    <w:rsid w:val="00CD2DF3"/>
    <w:pPr>
      <w:spacing w:before="60" w:after="60"/>
      <w:outlineLvl w:val="4"/>
    </w:pPr>
    <w:rPr>
      <w:b/>
      <w:i/>
    </w:rPr>
  </w:style>
  <w:style w:type="paragraph" w:styleId="Otsikko6">
    <w:name w:val="heading 6"/>
    <w:basedOn w:val="Normaali"/>
    <w:next w:val="Normaali"/>
    <w:qFormat/>
    <w:rsid w:val="00CD2DF3"/>
    <w:pPr>
      <w:spacing w:before="60" w:after="60"/>
      <w:outlineLvl w:val="5"/>
    </w:pPr>
    <w:rPr>
      <w:b/>
    </w:rPr>
  </w:style>
  <w:style w:type="paragraph" w:styleId="Otsikko7">
    <w:name w:val="heading 7"/>
    <w:basedOn w:val="Normaali"/>
    <w:next w:val="Normaali"/>
    <w:qFormat/>
    <w:rsid w:val="00CD2DF3"/>
    <w:pPr>
      <w:spacing w:before="60" w:after="60"/>
      <w:outlineLvl w:val="6"/>
    </w:pPr>
  </w:style>
  <w:style w:type="paragraph" w:styleId="Otsikko8">
    <w:name w:val="heading 8"/>
    <w:basedOn w:val="Normaali"/>
    <w:next w:val="Normaali"/>
    <w:qFormat/>
    <w:rsid w:val="00CD2DF3"/>
    <w:pPr>
      <w:spacing w:before="60" w:after="60"/>
      <w:outlineLvl w:val="7"/>
    </w:pPr>
    <w:rPr>
      <w:i/>
      <w:iCs/>
    </w:rPr>
  </w:style>
  <w:style w:type="paragraph" w:styleId="Otsikko9">
    <w:name w:val="heading 9"/>
    <w:basedOn w:val="Normaali"/>
    <w:next w:val="Normaali"/>
    <w:qFormat/>
    <w:rsid w:val="00CD2DF3"/>
    <w:pPr>
      <w:spacing w:before="6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semiHidden/>
    <w:rsid w:val="00CD2DF3"/>
    <w:rPr>
      <w:color w:val="0000FF"/>
      <w:u w:val="single"/>
    </w:rPr>
  </w:style>
  <w:style w:type="paragraph" w:styleId="Leipteksti">
    <w:name w:val="Body Text"/>
    <w:basedOn w:val="Normaali"/>
    <w:semiHidden/>
    <w:rsid w:val="00CD2DF3"/>
    <w:rPr>
      <w:rFonts w:ascii="Arial" w:hAnsi="Arial" w:cs="Arial"/>
      <w:sz w:val="16"/>
      <w:szCs w:val="16"/>
      <w:lang w:val="en-US"/>
    </w:rPr>
  </w:style>
  <w:style w:type="character" w:styleId="AvattuHyperlinkki">
    <w:name w:val="FollowedHyperlink"/>
    <w:basedOn w:val="Kappaleenoletusfontti"/>
    <w:semiHidden/>
    <w:rsid w:val="00CD2DF3"/>
    <w:rPr>
      <w:color w:val="800080"/>
      <w:u w:val="single"/>
    </w:rPr>
  </w:style>
  <w:style w:type="paragraph" w:styleId="Alaviitteenteksti">
    <w:name w:val="footnote text"/>
    <w:basedOn w:val="Normaali"/>
    <w:semiHidden/>
    <w:rsid w:val="00CD2DF3"/>
    <w:rPr>
      <w:sz w:val="20"/>
      <w:szCs w:val="20"/>
    </w:rPr>
  </w:style>
  <w:style w:type="character" w:styleId="Alaviitteenviite">
    <w:name w:val="footnote reference"/>
    <w:basedOn w:val="Kappaleenoletusfontti"/>
    <w:semiHidden/>
    <w:rsid w:val="00CD2DF3"/>
    <w:rPr>
      <w:vertAlign w:val="superscript"/>
    </w:rPr>
  </w:style>
  <w:style w:type="paragraph" w:customStyle="1" w:styleId="RegPara">
    <w:name w:val="RegPara"/>
    <w:basedOn w:val="Normaali"/>
    <w:rsid w:val="00AA218C"/>
    <w:pPr>
      <w:numPr>
        <w:numId w:val="2"/>
      </w:numPr>
      <w:suppressAutoHyphens/>
      <w:spacing w:before="120" w:after="120" w:line="288" w:lineRule="auto"/>
      <w:ind w:left="0" w:firstLine="0"/>
    </w:pPr>
    <w:rPr>
      <w:rFonts w:ascii="Arial" w:hAnsi="Arial" w:cs="Arial"/>
      <w:sz w:val="22"/>
      <w:szCs w:val="20"/>
      <w:lang w:val="en-GB"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dr.eionet.europa.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39757-92FE-4E9F-A731-93A46513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496</Words>
  <Characters>4022</Characters>
  <Application>Microsoft Office Word</Application>
  <DocSecurity>0</DocSecurity>
  <Lines>33</Lines>
  <Paragraphs>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REPORT UNDER THE EUROPEAN UNION NET EMISSIONS CEILINGS DIRECTIVE TO THE EUROPEAN COMMISSION</vt:lpstr>
      <vt:lpstr>REPORT UNDER THE EUROPEAN UNION NET EMISSIONS CEILINGS DIRECTIVE TO THE EUROPEAN COMMISSION</vt:lpstr>
    </vt:vector>
  </TitlesOfParts>
  <Company>Ympäristöhallinto</Company>
  <LinksUpToDate>false</LinksUpToDate>
  <CharactersWithSpaces>4509</CharactersWithSpaces>
  <SharedDoc>false</SharedDoc>
  <HLinks>
    <vt:vector size="6" baseType="variant">
      <vt:variant>
        <vt:i4>4849676</vt:i4>
      </vt:variant>
      <vt:variant>
        <vt:i4>0</vt:i4>
      </vt:variant>
      <vt:variant>
        <vt:i4>0</vt:i4>
      </vt:variant>
      <vt:variant>
        <vt:i4>5</vt:i4>
      </vt:variant>
      <vt:variant>
        <vt:lpwstr>http://cdr.eionet.europa.eu/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UNDER THE EUROPEAN UNION NET EMISSIONS CEILINGS DIRECTIVE TO THE EUROPEAN COMMISSION</dc:title>
  <dc:creator>saarinenkr</dc:creator>
  <cp:lastModifiedBy>saarinenkr</cp:lastModifiedBy>
  <cp:revision>6</cp:revision>
  <cp:lastPrinted>2006-12-15T08:31:00Z</cp:lastPrinted>
  <dcterms:created xsi:type="dcterms:W3CDTF">2010-12-10T10:14:00Z</dcterms:created>
  <dcterms:modified xsi:type="dcterms:W3CDTF">2010-12-14T00:20:00Z</dcterms:modified>
</cp:coreProperties>
</file>