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481"/>
      </w:tblGrid>
      <w:tr w:rsidR="00505276" w:rsidRPr="00FB5DB2" w14:paraId="73EBFEB2" w14:textId="77777777" w:rsidTr="00CB75A0">
        <w:tc>
          <w:tcPr>
            <w:tcW w:w="3733" w:type="dxa"/>
            <w:hideMark/>
          </w:tcPr>
          <w:p w14:paraId="1A636629" w14:textId="77777777" w:rsidR="00505276" w:rsidRPr="0081692B" w:rsidRDefault="009D61EB" w:rsidP="0081692B">
            <w:sdt>
              <w:sdtPr>
                <w:rPr>
                  <w:rFonts w:asciiTheme="majorHAnsi" w:hAnsiTheme="majorHAnsi" w:cstheme="majorHAnsi"/>
                  <w:b/>
                  <w:sz w:val="18"/>
                  <w:szCs w:val="18"/>
                </w:rPr>
                <w:id w:val="-1700384579"/>
                <w:placeholder>
                  <w:docPart w:val="18967C5A90964C79BFB20283D254A039"/>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81692B" w:rsidRPr="0081692B">
                  <w:rPr>
                    <w:rFonts w:asciiTheme="majorHAnsi" w:hAnsiTheme="majorHAnsi" w:cstheme="majorHAnsi"/>
                    <w:b/>
                    <w:sz w:val="18"/>
                    <w:szCs w:val="18"/>
                  </w:rPr>
                  <w:t>SLU Swedish Species Information Centre</w:t>
                </w:r>
              </w:sdtContent>
            </w:sdt>
            <w:r w:rsidR="006B2DC0" w:rsidRPr="0081692B">
              <w:rPr>
                <w:b/>
              </w:rPr>
              <w:br/>
            </w:r>
            <w:sdt>
              <w:sdtPr>
                <w:id w:val="90443631"/>
                <w:placeholder>
                  <w:docPart w:val="5DBF5BDA05D141B98EAF9EDC01D4567E"/>
                </w:placeholder>
                <w:text w:multiLine="1"/>
              </w:sdtPr>
              <w:sdtEndPr/>
              <w:sdtContent>
                <w:r w:rsidR="0081692B" w:rsidRPr="0081692B">
                  <w:t>Håkan Berglund</w:t>
                </w:r>
              </w:sdtContent>
            </w:sdt>
          </w:p>
        </w:tc>
        <w:tc>
          <w:tcPr>
            <w:tcW w:w="5481" w:type="dxa"/>
          </w:tcPr>
          <w:p w14:paraId="7252F774" w14:textId="77777777" w:rsidR="00670079" w:rsidRPr="00FB5DB2" w:rsidRDefault="009D61EB" w:rsidP="0081692B">
            <w:pPr>
              <w:tabs>
                <w:tab w:val="left" w:pos="2504"/>
              </w:tabs>
              <w:spacing w:after="120" w:line="276" w:lineRule="auto"/>
              <w:ind w:left="380"/>
              <w:rPr>
                <w:rFonts w:asciiTheme="majorHAnsi" w:hAnsiTheme="majorHAnsi" w:cstheme="majorHAnsi"/>
                <w:lang w:val="en-GB"/>
              </w:rPr>
            </w:pPr>
            <w:sdt>
              <w:sdtPr>
                <w:rPr>
                  <w:rFonts w:asciiTheme="majorHAnsi" w:hAnsiTheme="majorHAnsi" w:cstheme="majorHAnsi"/>
                  <w:sz w:val="18"/>
                  <w:szCs w:val="18"/>
                  <w:lang w:val="en-GB"/>
                </w:rPr>
                <w:alias w:val="Date"/>
                <w:tag w:val="Date"/>
                <w:id w:val="1245923825"/>
                <w:placeholder>
                  <w:docPart w:val="6F1874E3F1D44E96A750CA9142449795"/>
                </w:placeholder>
                <w:text/>
              </w:sdtPr>
              <w:sdtEndPr/>
              <w:sdtContent>
                <w:r w:rsidR="0081692B">
                  <w:rPr>
                    <w:rFonts w:asciiTheme="majorHAnsi" w:hAnsiTheme="majorHAnsi" w:cstheme="majorHAnsi"/>
                    <w:sz w:val="18"/>
                    <w:szCs w:val="18"/>
                    <w:lang w:val="en-GB"/>
                  </w:rPr>
                  <w:t>12</w:t>
                </w:r>
                <w:r w:rsidR="00FB5DB2">
                  <w:rPr>
                    <w:rFonts w:asciiTheme="majorHAnsi" w:hAnsiTheme="majorHAnsi" w:cstheme="majorHAnsi"/>
                    <w:sz w:val="18"/>
                    <w:szCs w:val="18"/>
                    <w:lang w:val="en-GB"/>
                  </w:rPr>
                  <w:t>/</w:t>
                </w:r>
                <w:r w:rsidR="0081692B">
                  <w:rPr>
                    <w:rFonts w:asciiTheme="majorHAnsi" w:hAnsiTheme="majorHAnsi" w:cstheme="majorHAnsi"/>
                    <w:sz w:val="18"/>
                    <w:szCs w:val="18"/>
                    <w:lang w:val="en-GB"/>
                  </w:rPr>
                  <w:t>12</w:t>
                </w:r>
                <w:r w:rsidR="00FB5DB2">
                  <w:rPr>
                    <w:rFonts w:asciiTheme="majorHAnsi" w:hAnsiTheme="majorHAnsi" w:cstheme="majorHAnsi"/>
                    <w:sz w:val="18"/>
                    <w:szCs w:val="18"/>
                    <w:lang w:val="en-GB"/>
                  </w:rPr>
                  <w:t>/20</w:t>
                </w:r>
                <w:r w:rsidR="0081692B">
                  <w:rPr>
                    <w:rFonts w:asciiTheme="majorHAnsi" w:hAnsiTheme="majorHAnsi" w:cstheme="majorHAnsi"/>
                    <w:sz w:val="18"/>
                    <w:szCs w:val="18"/>
                    <w:lang w:val="en-GB"/>
                  </w:rPr>
                  <w:t>22</w:t>
                </w:r>
              </w:sdtContent>
            </w:sdt>
          </w:p>
        </w:tc>
      </w:tr>
    </w:tbl>
    <w:p w14:paraId="3F96DFAF" w14:textId="77777777" w:rsidR="00C33EF8" w:rsidRPr="00FB5DB2" w:rsidRDefault="00C33EF8" w:rsidP="002E6436">
      <w:pPr>
        <w:rPr>
          <w:lang w:val="en-GB"/>
        </w:rPr>
      </w:pPr>
    </w:p>
    <w:sdt>
      <w:sdtPr>
        <w:rPr>
          <w:lang w:val="en-US"/>
        </w:rPr>
        <w:id w:val="2003931828"/>
        <w:placeholder>
          <w:docPart w:val="7082172AB4BA483A8BDD6B6A8B6896E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A102181" w14:textId="77777777" w:rsidR="002E6436" w:rsidRPr="00CA0033" w:rsidRDefault="000F26D2" w:rsidP="00CA0033">
          <w:pPr>
            <w:pStyle w:val="Title"/>
            <w:spacing w:before="240" w:after="276"/>
            <w:rPr>
              <w:rFonts w:asciiTheme="minorHAnsi" w:eastAsiaTheme="minorHAnsi" w:hAnsiTheme="minorHAnsi" w:cstheme="minorBidi"/>
              <w:color w:val="auto"/>
              <w:spacing w:val="0"/>
              <w:kern w:val="0"/>
              <w:sz w:val="22"/>
              <w:szCs w:val="22"/>
              <w:lang w:val="en-US"/>
            </w:rPr>
          </w:pPr>
          <w:r>
            <w:rPr>
              <w:lang w:val="en-US"/>
            </w:rPr>
            <w:t>Applying the new stepwise approach for setting reference values to forest habitat types in Sweden</w:t>
          </w:r>
        </w:p>
      </w:sdtContent>
    </w:sdt>
    <w:p w14:paraId="77E21F09" w14:textId="77777777" w:rsidR="00016516" w:rsidRPr="00D33879" w:rsidRDefault="00016516" w:rsidP="004343E5">
      <w:pPr>
        <w:rPr>
          <w:lang w:val="en-US"/>
        </w:rPr>
      </w:pPr>
    </w:p>
    <w:p w14:paraId="38CD9FEB" w14:textId="77777777" w:rsidR="00316109" w:rsidRPr="00316109" w:rsidRDefault="00316109" w:rsidP="004343E5">
      <w:pPr>
        <w:rPr>
          <w:lang w:val="en-US"/>
        </w:rPr>
      </w:pPr>
      <w:r w:rsidRPr="00316109">
        <w:rPr>
          <w:lang w:val="en-US"/>
        </w:rPr>
        <w:t xml:space="preserve">The registration number of the </w:t>
      </w:r>
      <w:r w:rsidR="00347505">
        <w:rPr>
          <w:lang w:val="en-US"/>
        </w:rPr>
        <w:t xml:space="preserve">SLU </w:t>
      </w:r>
      <w:r w:rsidRPr="00316109">
        <w:rPr>
          <w:lang w:val="en-US"/>
        </w:rPr>
        <w:t>Swedish Species Information Centre’s: SLU.dha.</w:t>
      </w:r>
      <w:r w:rsidR="00347505">
        <w:rPr>
          <w:lang w:val="en-US"/>
        </w:rPr>
        <w:t>2018</w:t>
      </w:r>
      <w:r w:rsidR="00633BB8">
        <w:rPr>
          <w:lang w:val="en-US"/>
        </w:rPr>
        <w:t>.5.2</w:t>
      </w:r>
      <w:r w:rsidR="00347505">
        <w:rPr>
          <w:lang w:val="en-US"/>
        </w:rPr>
        <w:t>-34</w:t>
      </w:r>
      <w:r w:rsidRPr="00316109">
        <w:rPr>
          <w:lang w:val="en-US"/>
        </w:rPr>
        <w:t>.</w:t>
      </w:r>
    </w:p>
    <w:p w14:paraId="437CD9C1" w14:textId="77777777" w:rsidR="00316109" w:rsidRPr="00DE169B" w:rsidRDefault="00316109" w:rsidP="004343E5">
      <w:pPr>
        <w:rPr>
          <w:lang w:val="en-US"/>
        </w:rPr>
      </w:pPr>
    </w:p>
    <w:p w14:paraId="27BAA3B9" w14:textId="77777777" w:rsidR="00316109" w:rsidRPr="00316109" w:rsidRDefault="00316109" w:rsidP="00316109">
      <w:pPr>
        <w:rPr>
          <w:lang w:val="en-US"/>
        </w:rPr>
      </w:pPr>
      <w:r w:rsidRPr="00316109">
        <w:rPr>
          <w:lang w:val="en-US"/>
        </w:rPr>
        <w:t xml:space="preserve">The registration number of the European Topic Centre on Biological Diversity: No </w:t>
      </w:r>
      <w:r w:rsidR="003E6336" w:rsidRPr="003E6336">
        <w:rPr>
          <w:lang w:val="en-US"/>
        </w:rPr>
        <w:t>3333/B2022/EEA</w:t>
      </w:r>
      <w:r w:rsidRPr="003E6336">
        <w:rPr>
          <w:lang w:val="en-US"/>
        </w:rPr>
        <w:t>.</w:t>
      </w:r>
    </w:p>
    <w:p w14:paraId="3E27A52F" w14:textId="77777777" w:rsidR="00316109" w:rsidRPr="00316109" w:rsidRDefault="00316109" w:rsidP="00316109">
      <w:pPr>
        <w:rPr>
          <w:lang w:val="en-US"/>
        </w:rPr>
      </w:pPr>
    </w:p>
    <w:p w14:paraId="11F8BFAA" w14:textId="77777777" w:rsidR="00D33879" w:rsidRDefault="00316109" w:rsidP="00306FF5">
      <w:r w:rsidRPr="00316109">
        <w:rPr>
          <w:lang w:val="en-US"/>
        </w:rPr>
        <w:t xml:space="preserve">The work </w:t>
      </w:r>
      <w:r w:rsidR="008E0816">
        <w:rPr>
          <w:lang w:val="en-US"/>
        </w:rPr>
        <w:t>is part of</w:t>
      </w:r>
      <w:r w:rsidRPr="00316109">
        <w:rPr>
          <w:lang w:val="en-US"/>
        </w:rPr>
        <w:t xml:space="preserve"> the task “</w:t>
      </w:r>
      <w:r w:rsidR="003E6336">
        <w:rPr>
          <w:lang w:val="en-US"/>
        </w:rPr>
        <w:t>1.1.1.1</w:t>
      </w:r>
      <w:r w:rsidRPr="00316109">
        <w:rPr>
          <w:lang w:val="en-US"/>
        </w:rPr>
        <w:t xml:space="preserve">” within the work package </w:t>
      </w:r>
      <w:r w:rsidR="008E0816">
        <w:rPr>
          <w:lang w:val="en-US"/>
        </w:rPr>
        <w:t xml:space="preserve">IV. </w:t>
      </w:r>
      <w:r w:rsidR="008E0816" w:rsidRPr="008E0816">
        <w:rPr>
          <w:lang w:val="en-US"/>
        </w:rPr>
        <w:t>Revision of guidelines for nature reporting and relevant lists of pressures and measures</w:t>
      </w:r>
      <w:r w:rsidRPr="00316109">
        <w:rPr>
          <w:lang w:val="en-US"/>
        </w:rPr>
        <w:t>.</w:t>
      </w:r>
    </w:p>
    <w:p w14:paraId="0EDD8A18" w14:textId="77777777" w:rsidR="00E61317" w:rsidRDefault="00E61317" w:rsidP="00316109">
      <w:pPr>
        <w:rPr>
          <w:lang w:val="en-US"/>
        </w:rPr>
      </w:pPr>
    </w:p>
    <w:p w14:paraId="64076A12" w14:textId="77777777" w:rsidR="00D33879" w:rsidRDefault="000103E0" w:rsidP="00306FF5">
      <w:pPr>
        <w:pStyle w:val="Heading1"/>
        <w:numPr>
          <w:ilvl w:val="0"/>
          <w:numId w:val="0"/>
        </w:numPr>
        <w:ind w:left="357"/>
        <w:rPr>
          <w:lang w:val="en-US"/>
        </w:rPr>
      </w:pPr>
      <w:bookmarkStart w:id="0" w:name="_Toc121684102"/>
      <w:r>
        <w:rPr>
          <w:lang w:val="en-US"/>
        </w:rPr>
        <w:t>Setting favourable reference values (example)</w:t>
      </w:r>
      <w:bookmarkEnd w:id="0"/>
    </w:p>
    <w:p w14:paraId="0B7D2CF4" w14:textId="77777777" w:rsidR="00FF4F7E" w:rsidRPr="00FF4F7E" w:rsidRDefault="00306FF5" w:rsidP="00FB58C4">
      <w:pPr>
        <w:pBdr>
          <w:top w:val="single" w:sz="4" w:space="1" w:color="auto"/>
          <w:left w:val="single" w:sz="4" w:space="4" w:color="auto"/>
          <w:bottom w:val="single" w:sz="4" w:space="1" w:color="auto"/>
          <w:right w:val="single" w:sz="4" w:space="4" w:color="auto"/>
        </w:pBdr>
        <w:shd w:val="clear" w:color="auto" w:fill="EADFF3" w:themeFill="accent3" w:themeFillTint="33"/>
        <w:rPr>
          <w:lang w:val="en-US"/>
        </w:rPr>
      </w:pPr>
      <w:r>
        <w:rPr>
          <w:lang w:val="en-US"/>
        </w:rPr>
        <w:t xml:space="preserve">The objective of this example is to describe </w:t>
      </w:r>
      <w:r w:rsidR="00E055E7">
        <w:rPr>
          <w:lang w:val="en-US"/>
        </w:rPr>
        <w:t xml:space="preserve">the logics behind </w:t>
      </w:r>
      <w:r>
        <w:rPr>
          <w:lang w:val="en-US"/>
        </w:rPr>
        <w:t xml:space="preserve">how the stepwise approach for setting FRVs </w:t>
      </w:r>
      <w:r w:rsidR="00347505">
        <w:rPr>
          <w:lang w:val="en-US"/>
        </w:rPr>
        <w:t xml:space="preserve">is </w:t>
      </w:r>
      <w:r>
        <w:rPr>
          <w:lang w:val="en-US"/>
        </w:rPr>
        <w:t xml:space="preserve">applied </w:t>
      </w:r>
      <w:r w:rsidR="00E055E7">
        <w:rPr>
          <w:lang w:val="en-US"/>
        </w:rPr>
        <w:t>for</w:t>
      </w:r>
      <w:r>
        <w:rPr>
          <w:lang w:val="en-US"/>
        </w:rPr>
        <w:t xml:space="preserve"> </w:t>
      </w:r>
      <w:r w:rsidRPr="00C853FC">
        <w:rPr>
          <w:u w:val="single"/>
          <w:lang w:val="en-US"/>
        </w:rPr>
        <w:t xml:space="preserve">FRAs of </w:t>
      </w:r>
      <w:r w:rsidR="0076505A">
        <w:rPr>
          <w:u w:val="single"/>
          <w:lang w:val="en-US"/>
        </w:rPr>
        <w:t xml:space="preserve">forest </w:t>
      </w:r>
      <w:r w:rsidRPr="00C853FC">
        <w:rPr>
          <w:u w:val="single"/>
          <w:lang w:val="en-US"/>
        </w:rPr>
        <w:t>types</w:t>
      </w:r>
      <w:r w:rsidRPr="00E61317">
        <w:rPr>
          <w:lang w:val="en-US"/>
        </w:rPr>
        <w:t xml:space="preserve"> registered in Sweden</w:t>
      </w:r>
      <w:r>
        <w:rPr>
          <w:lang w:val="en-US"/>
        </w:rPr>
        <w:t xml:space="preserve"> (SE). The</w:t>
      </w:r>
      <w:r w:rsidR="00FF4F7E">
        <w:rPr>
          <w:lang w:val="en-US"/>
        </w:rPr>
        <w:t xml:space="preserve"> example</w:t>
      </w:r>
      <w:r w:rsidR="00FB58C4">
        <w:rPr>
          <w:lang w:val="en-US"/>
        </w:rPr>
        <w:t xml:space="preserve"> </w:t>
      </w:r>
      <w:r w:rsidR="00317E23">
        <w:rPr>
          <w:lang w:val="en-US"/>
        </w:rPr>
        <w:t xml:space="preserve">has been developed </w:t>
      </w:r>
      <w:r w:rsidR="00FB58C4">
        <w:rPr>
          <w:lang w:val="en-US"/>
        </w:rPr>
        <w:t xml:space="preserve">based on the information reported by Sweden during the </w:t>
      </w:r>
      <w:r>
        <w:rPr>
          <w:lang w:val="en-US"/>
        </w:rPr>
        <w:t xml:space="preserve">first </w:t>
      </w:r>
      <w:r w:rsidR="00FB58C4" w:rsidRPr="00306FF5">
        <w:rPr>
          <w:lang w:val="en-US"/>
        </w:rPr>
        <w:t xml:space="preserve">and second reporting round (2008-2012; </w:t>
      </w:r>
      <w:hyperlink r:id="rId12" w:history="1">
        <w:r w:rsidR="00FB58C4" w:rsidRPr="00306FF5">
          <w:rPr>
            <w:rStyle w:val="Hyperlink"/>
            <w:lang w:val="en-US"/>
          </w:rPr>
          <w:t>link</w:t>
        </w:r>
      </w:hyperlink>
      <w:r w:rsidR="00FB58C4" w:rsidRPr="00306FF5">
        <w:rPr>
          <w:lang w:val="en-US"/>
        </w:rPr>
        <w:t xml:space="preserve"> to webpage). </w:t>
      </w:r>
      <w:r w:rsidR="00317E23" w:rsidRPr="00306FF5">
        <w:rPr>
          <w:lang w:val="en-US"/>
        </w:rPr>
        <w:t>The</w:t>
      </w:r>
      <w:r w:rsidR="000103E0" w:rsidRPr="00306FF5">
        <w:rPr>
          <w:lang w:val="en-US"/>
        </w:rPr>
        <w:t xml:space="preserve"> </w:t>
      </w:r>
      <w:r w:rsidR="0076505A">
        <w:rPr>
          <w:lang w:val="en-US"/>
        </w:rPr>
        <w:t xml:space="preserve">final </w:t>
      </w:r>
      <w:r w:rsidR="000103E0" w:rsidRPr="0076505A">
        <w:rPr>
          <w:lang w:val="en-US"/>
        </w:rPr>
        <w:t xml:space="preserve">FRVs </w:t>
      </w:r>
      <w:r w:rsidR="00E055E7">
        <w:rPr>
          <w:lang w:val="en-US"/>
        </w:rPr>
        <w:t xml:space="preserve">for the period 2013-2018 </w:t>
      </w:r>
      <w:r w:rsidR="0076505A">
        <w:rPr>
          <w:lang w:val="en-US"/>
        </w:rPr>
        <w:t>was reported by SE 2019</w:t>
      </w:r>
      <w:r w:rsidR="00FB58C4" w:rsidRPr="0076505A">
        <w:rPr>
          <w:lang w:val="en-US"/>
        </w:rPr>
        <w:t>.</w:t>
      </w:r>
    </w:p>
    <w:p w14:paraId="5C323C25" w14:textId="77777777" w:rsidR="005347E2" w:rsidRDefault="005347E2" w:rsidP="00170418">
      <w:pPr>
        <w:pStyle w:val="Heading2"/>
        <w:rPr>
          <w:lang w:val="en-US"/>
        </w:rPr>
      </w:pPr>
      <w:bookmarkStart w:id="1" w:name="_Toc121684103"/>
      <w:r>
        <w:rPr>
          <w:lang w:val="en-US"/>
        </w:rPr>
        <w:t>Western Taiga 9010</w:t>
      </w:r>
      <w:bookmarkEnd w:id="1"/>
    </w:p>
    <w:p w14:paraId="0E3A376E" w14:textId="77777777" w:rsidR="00F94D44" w:rsidRPr="00D33879" w:rsidRDefault="00F94D44" w:rsidP="00170418">
      <w:pPr>
        <w:pStyle w:val="Heading3"/>
        <w:rPr>
          <w:b/>
          <w:lang w:val="en-US"/>
        </w:rPr>
      </w:pPr>
      <w:bookmarkStart w:id="2" w:name="_Toc121684104"/>
      <w:r w:rsidRPr="00D33879">
        <w:rPr>
          <w:b/>
          <w:lang w:val="en-US"/>
        </w:rPr>
        <w:t>Step 1.</w:t>
      </w:r>
      <w:r w:rsidR="00D33879" w:rsidRPr="00D33879">
        <w:rPr>
          <w:b/>
          <w:lang w:val="en-US"/>
        </w:rPr>
        <w:t xml:space="preserve"> </w:t>
      </w:r>
      <w:r w:rsidR="00485AAD" w:rsidRPr="00D33879">
        <w:rPr>
          <w:lang w:val="en-US"/>
        </w:rPr>
        <w:t>Data and i</w:t>
      </w:r>
      <w:r w:rsidRPr="00D33879">
        <w:rPr>
          <w:lang w:val="en-US"/>
        </w:rPr>
        <w:t>nformation gathered</w:t>
      </w:r>
      <w:bookmarkEnd w:id="2"/>
    </w:p>
    <w:p w14:paraId="6A6D1E39" w14:textId="77777777" w:rsidR="005347E2" w:rsidRDefault="00BE4CB6" w:rsidP="005347E2">
      <w:pPr>
        <w:rPr>
          <w:lang w:val="en-US"/>
        </w:rPr>
      </w:pPr>
      <w:r>
        <w:rPr>
          <w:b/>
          <w:lang w:val="en-US"/>
        </w:rPr>
        <w:t xml:space="preserve">(i) </w:t>
      </w:r>
      <w:r w:rsidR="00D33879" w:rsidRPr="00D33879">
        <w:rPr>
          <w:b/>
          <w:lang w:val="en-US"/>
        </w:rPr>
        <w:t>Structure, functions and typical species.</w:t>
      </w:r>
      <w:r w:rsidR="00D33879">
        <w:rPr>
          <w:lang w:val="en-US"/>
        </w:rPr>
        <w:t xml:space="preserve"> –</w:t>
      </w:r>
      <w:r w:rsidR="00D33879" w:rsidRPr="00D33879">
        <w:rPr>
          <w:lang w:val="en-US"/>
        </w:rPr>
        <w:t xml:space="preserve"> </w:t>
      </w:r>
      <w:r w:rsidR="00C853FC">
        <w:rPr>
          <w:lang w:val="en-US"/>
        </w:rPr>
        <w:t>The</w:t>
      </w:r>
      <w:r w:rsidR="00D33879">
        <w:rPr>
          <w:lang w:val="en-US"/>
        </w:rPr>
        <w:t xml:space="preserve"> </w:t>
      </w:r>
      <w:r w:rsidR="00414457">
        <w:rPr>
          <w:lang w:val="en-US"/>
        </w:rPr>
        <w:t xml:space="preserve">Western Taiga 9010 </w:t>
      </w:r>
      <w:r w:rsidR="00335957">
        <w:rPr>
          <w:lang w:val="en-US"/>
        </w:rPr>
        <w:t xml:space="preserve">covers </w:t>
      </w:r>
      <w:r w:rsidR="00C853FC">
        <w:rPr>
          <w:lang w:val="en-US"/>
        </w:rPr>
        <w:t>a range of</w:t>
      </w:r>
      <w:r w:rsidR="00414457" w:rsidRPr="00414457">
        <w:rPr>
          <w:lang w:val="en-US"/>
        </w:rPr>
        <w:t xml:space="preserve"> </w:t>
      </w:r>
      <w:r w:rsidR="00414457">
        <w:rPr>
          <w:lang w:val="en-US"/>
        </w:rPr>
        <w:t>site types</w:t>
      </w:r>
      <w:r w:rsidR="00414457" w:rsidRPr="00414457">
        <w:rPr>
          <w:lang w:val="en-US"/>
        </w:rPr>
        <w:t xml:space="preserve"> (poor to rich</w:t>
      </w:r>
      <w:r w:rsidR="00414457">
        <w:rPr>
          <w:lang w:val="en-US"/>
        </w:rPr>
        <w:t xml:space="preserve">, </w:t>
      </w:r>
      <w:r w:rsidR="00414457" w:rsidRPr="00414457">
        <w:rPr>
          <w:lang w:val="en-US"/>
        </w:rPr>
        <w:t>mesic to moist</w:t>
      </w:r>
      <w:r w:rsidR="00414457">
        <w:rPr>
          <w:lang w:val="en-US"/>
        </w:rPr>
        <w:t>) on</w:t>
      </w:r>
      <w:r w:rsidR="00414457" w:rsidRPr="00414457">
        <w:rPr>
          <w:lang w:val="en-US"/>
        </w:rPr>
        <w:t xml:space="preserve"> </w:t>
      </w:r>
      <w:r w:rsidR="00414457">
        <w:rPr>
          <w:lang w:val="en-US"/>
        </w:rPr>
        <w:t xml:space="preserve">mineral </w:t>
      </w:r>
      <w:r w:rsidR="00414457" w:rsidRPr="00414457">
        <w:rPr>
          <w:lang w:val="en-US"/>
        </w:rPr>
        <w:t>soils</w:t>
      </w:r>
      <w:r w:rsidR="00C853FC">
        <w:rPr>
          <w:lang w:val="en-US"/>
        </w:rPr>
        <w:t xml:space="preserve"> in </w:t>
      </w:r>
      <w:r w:rsidR="007F6D11">
        <w:rPr>
          <w:lang w:val="en-US"/>
        </w:rPr>
        <w:t>mainly the alpine and boreal</w:t>
      </w:r>
      <w:r w:rsidR="00C853FC">
        <w:rPr>
          <w:lang w:val="en-US"/>
        </w:rPr>
        <w:t xml:space="preserve"> regions of Sweden</w:t>
      </w:r>
      <w:r w:rsidR="00335957">
        <w:rPr>
          <w:lang w:val="en-US"/>
        </w:rPr>
        <w:t xml:space="preserve">. </w:t>
      </w:r>
      <w:r w:rsidR="00C853FC">
        <w:rPr>
          <w:lang w:val="en-US"/>
        </w:rPr>
        <w:t>V</w:t>
      </w:r>
      <w:r w:rsidR="00414457" w:rsidRPr="00414457">
        <w:rPr>
          <w:lang w:val="en-US"/>
        </w:rPr>
        <w:t xml:space="preserve">arying disturbance dynamics and </w:t>
      </w:r>
      <w:r w:rsidR="00E06416">
        <w:rPr>
          <w:lang w:val="en-US"/>
        </w:rPr>
        <w:t>different species</w:t>
      </w:r>
      <w:r w:rsidR="00414457" w:rsidRPr="00414457">
        <w:rPr>
          <w:lang w:val="en-US"/>
        </w:rPr>
        <w:t xml:space="preserve"> composition and </w:t>
      </w:r>
      <w:r w:rsidR="00E06416">
        <w:rPr>
          <w:lang w:val="en-US"/>
        </w:rPr>
        <w:t xml:space="preserve">forest </w:t>
      </w:r>
      <w:r w:rsidR="00414457" w:rsidRPr="00414457">
        <w:rPr>
          <w:lang w:val="en-US"/>
        </w:rPr>
        <w:t>structure (pine, spruce, deciduous and mixed forests)</w:t>
      </w:r>
      <w:r w:rsidR="00C853FC">
        <w:rPr>
          <w:lang w:val="en-US"/>
        </w:rPr>
        <w:t xml:space="preserve"> are </w:t>
      </w:r>
      <w:r w:rsidR="005A54C1">
        <w:rPr>
          <w:lang w:val="en-US"/>
        </w:rPr>
        <w:t>typical</w:t>
      </w:r>
      <w:r w:rsidR="00414457" w:rsidRPr="00414457">
        <w:rPr>
          <w:lang w:val="en-US"/>
        </w:rPr>
        <w:t xml:space="preserve">. </w:t>
      </w:r>
      <w:r w:rsidR="00C853FC" w:rsidRPr="00C853FC">
        <w:rPr>
          <w:lang w:val="en-US"/>
        </w:rPr>
        <w:t xml:space="preserve">Primarily fine-scale disturbances </w:t>
      </w:r>
      <w:r w:rsidR="00C853FC">
        <w:rPr>
          <w:lang w:val="en-US"/>
        </w:rPr>
        <w:t xml:space="preserve">and spruce-dominated forests are </w:t>
      </w:r>
      <w:r w:rsidR="005A54C1">
        <w:rPr>
          <w:lang w:val="en-US"/>
        </w:rPr>
        <w:t>characteristic</w:t>
      </w:r>
      <w:r w:rsidR="00C853FC">
        <w:rPr>
          <w:lang w:val="en-US"/>
        </w:rPr>
        <w:t xml:space="preserve"> in moist areas </w:t>
      </w:r>
      <w:r w:rsidR="00C853FC" w:rsidRPr="00C853FC">
        <w:rPr>
          <w:lang w:val="en-US"/>
        </w:rPr>
        <w:t>due to lasting or at least periodic (annual) high ground water table</w:t>
      </w:r>
      <w:r w:rsidR="00C71CD6">
        <w:rPr>
          <w:lang w:val="en-US"/>
        </w:rPr>
        <w:t xml:space="preserve"> (Hörnberg et al. 1995, 1997</w:t>
      </w:r>
      <w:r w:rsidR="00C71CD6">
        <w:rPr>
          <w:rStyle w:val="FootnoteReference"/>
          <w:lang w:val="en-US"/>
        </w:rPr>
        <w:footnoteReference w:id="1"/>
      </w:r>
      <w:r w:rsidR="00C71CD6">
        <w:rPr>
          <w:lang w:val="en-US"/>
        </w:rPr>
        <w:t>)</w:t>
      </w:r>
      <w:r w:rsidR="00C853FC" w:rsidRPr="00C853FC">
        <w:rPr>
          <w:lang w:val="en-US"/>
        </w:rPr>
        <w:t xml:space="preserve">. </w:t>
      </w:r>
      <w:r w:rsidR="00414457" w:rsidRPr="00414457">
        <w:rPr>
          <w:lang w:val="en-US"/>
        </w:rPr>
        <w:t xml:space="preserve">Stand-scale cohort dynamics due to frequent low-intensive fires or succession after high-intensive fires </w:t>
      </w:r>
      <w:r w:rsidR="009A2814">
        <w:rPr>
          <w:lang w:val="en-US"/>
        </w:rPr>
        <w:t xml:space="preserve">that </w:t>
      </w:r>
      <w:r w:rsidR="009A4F26">
        <w:rPr>
          <w:lang w:val="en-US"/>
        </w:rPr>
        <w:t>result in various</w:t>
      </w:r>
      <w:r w:rsidR="009A2814">
        <w:rPr>
          <w:lang w:val="en-US"/>
        </w:rPr>
        <w:t xml:space="preserve"> forest types </w:t>
      </w:r>
      <w:r w:rsidR="00414457" w:rsidRPr="00414457">
        <w:rPr>
          <w:lang w:val="en-US"/>
        </w:rPr>
        <w:t xml:space="preserve">are likely more important on </w:t>
      </w:r>
      <w:r w:rsidR="009A2814">
        <w:rPr>
          <w:lang w:val="en-US"/>
        </w:rPr>
        <w:t xml:space="preserve">particularly </w:t>
      </w:r>
      <w:r w:rsidR="00414457" w:rsidRPr="00414457">
        <w:rPr>
          <w:lang w:val="en-US"/>
        </w:rPr>
        <w:t>dry to mesic sites types with h</w:t>
      </w:r>
      <w:r w:rsidR="00C853FC">
        <w:rPr>
          <w:lang w:val="en-US"/>
        </w:rPr>
        <w:t xml:space="preserve">eath vegetation (drawf shrubs), but </w:t>
      </w:r>
      <w:r w:rsidR="009A2814">
        <w:rPr>
          <w:lang w:val="en-US"/>
        </w:rPr>
        <w:t>also</w:t>
      </w:r>
      <w:r w:rsidR="00414457" w:rsidRPr="00414457">
        <w:rPr>
          <w:lang w:val="en-US"/>
        </w:rPr>
        <w:t xml:space="preserve"> on mesic to moist site types </w:t>
      </w:r>
      <w:r w:rsidR="00414457" w:rsidRPr="00414457">
        <w:rPr>
          <w:lang w:val="en-US"/>
        </w:rPr>
        <w:lastRenderedPageBreak/>
        <w:t xml:space="preserve">with graminoids and herbs. </w:t>
      </w:r>
      <w:r w:rsidR="005A54C1" w:rsidRPr="005A54C1">
        <w:rPr>
          <w:lang w:val="en-US"/>
        </w:rPr>
        <w:t xml:space="preserve">Cohort dynamics </w:t>
      </w:r>
      <w:r w:rsidR="005A54C1">
        <w:rPr>
          <w:lang w:val="en-US"/>
        </w:rPr>
        <w:t xml:space="preserve">and pine-dominated forests </w:t>
      </w:r>
      <w:r w:rsidR="00992538">
        <w:rPr>
          <w:lang w:val="en-US"/>
        </w:rPr>
        <w:t xml:space="preserve">are developing on poor and dry site types </w:t>
      </w:r>
      <w:r w:rsidR="005A54C1" w:rsidRPr="005A54C1">
        <w:rPr>
          <w:lang w:val="en-US"/>
        </w:rPr>
        <w:t>due to frequent low-intensity fires</w:t>
      </w:r>
      <w:r w:rsidR="00C71CD6">
        <w:rPr>
          <w:lang w:val="en-US"/>
        </w:rPr>
        <w:t xml:space="preserve"> (</w:t>
      </w:r>
      <w:r w:rsidR="007A4AEC">
        <w:rPr>
          <w:lang w:val="en-US"/>
        </w:rPr>
        <w:t>cf.</w:t>
      </w:r>
      <w:r w:rsidR="00C71CD6">
        <w:rPr>
          <w:lang w:val="en-US"/>
        </w:rPr>
        <w:t xml:space="preserve"> Aakala &amp; kuuluvainen 2011</w:t>
      </w:r>
      <w:r w:rsidR="00C71CD6">
        <w:rPr>
          <w:rStyle w:val="FootnoteReference"/>
          <w:lang w:val="en-US"/>
        </w:rPr>
        <w:footnoteReference w:id="2"/>
      </w:r>
      <w:r w:rsidR="00C71CD6">
        <w:rPr>
          <w:lang w:val="en-US"/>
        </w:rPr>
        <w:t>; Kuuluvainen et al. 2017</w:t>
      </w:r>
      <w:r w:rsidR="00C71CD6">
        <w:rPr>
          <w:rStyle w:val="FootnoteReference"/>
          <w:lang w:val="en-US"/>
        </w:rPr>
        <w:footnoteReference w:id="3"/>
      </w:r>
      <w:r w:rsidR="00C71CD6">
        <w:rPr>
          <w:lang w:val="en-US"/>
        </w:rPr>
        <w:t xml:space="preserve"> and references therein)</w:t>
      </w:r>
      <w:r w:rsidR="005A54C1" w:rsidRPr="005A54C1">
        <w:rPr>
          <w:lang w:val="en-US"/>
        </w:rPr>
        <w:t>.</w:t>
      </w:r>
    </w:p>
    <w:p w14:paraId="772D5170" w14:textId="77777777" w:rsidR="00D33879" w:rsidRDefault="00D33879" w:rsidP="005347E2">
      <w:pPr>
        <w:rPr>
          <w:lang w:val="en-US"/>
        </w:rPr>
      </w:pPr>
    </w:p>
    <w:p w14:paraId="209A22A3" w14:textId="77777777" w:rsidR="00F45BEE" w:rsidRDefault="00BE4CB6" w:rsidP="005347E2">
      <w:pPr>
        <w:rPr>
          <w:lang w:val="en-US"/>
        </w:rPr>
      </w:pPr>
      <w:r>
        <w:rPr>
          <w:b/>
          <w:lang w:val="en-US"/>
        </w:rPr>
        <w:t xml:space="preserve">(ii) </w:t>
      </w:r>
      <w:r w:rsidR="005F7EBF">
        <w:rPr>
          <w:b/>
          <w:lang w:val="en-US"/>
        </w:rPr>
        <w:t>Current a</w:t>
      </w:r>
      <w:r w:rsidR="00D33879" w:rsidRPr="00D33879">
        <w:rPr>
          <w:b/>
          <w:lang w:val="en-US"/>
        </w:rPr>
        <w:t>rea cover.</w:t>
      </w:r>
      <w:r w:rsidR="00D33879">
        <w:rPr>
          <w:lang w:val="en-US"/>
        </w:rPr>
        <w:t xml:space="preserve"> –</w:t>
      </w:r>
      <w:r w:rsidR="00E06416">
        <w:rPr>
          <w:lang w:val="en-US"/>
        </w:rPr>
        <w:t xml:space="preserve"> </w:t>
      </w:r>
      <w:r w:rsidR="0090791D" w:rsidRPr="0090791D">
        <w:rPr>
          <w:lang w:val="en-US"/>
        </w:rPr>
        <w:t>Th</w:t>
      </w:r>
      <w:r w:rsidR="004C1B99">
        <w:rPr>
          <w:lang w:val="en-US"/>
        </w:rPr>
        <w:t xml:space="preserve">e current value of the area cover (CV) was estimated based on </w:t>
      </w:r>
      <w:r w:rsidR="0090791D" w:rsidRPr="0090791D">
        <w:rPr>
          <w:lang w:val="en-US"/>
        </w:rPr>
        <w:t xml:space="preserve">data collected </w:t>
      </w:r>
      <w:r w:rsidR="004C1B99">
        <w:rPr>
          <w:lang w:val="en-US"/>
        </w:rPr>
        <w:t>by</w:t>
      </w:r>
      <w:r w:rsidR="0090791D" w:rsidRPr="0090791D">
        <w:rPr>
          <w:lang w:val="en-US"/>
        </w:rPr>
        <w:t xml:space="preserve"> the </w:t>
      </w:r>
      <w:r w:rsidR="0090791D">
        <w:rPr>
          <w:lang w:val="en-US"/>
        </w:rPr>
        <w:t>national forest inventory</w:t>
      </w:r>
      <w:r w:rsidR="0090791D" w:rsidRPr="0090791D">
        <w:rPr>
          <w:lang w:val="en-US"/>
        </w:rPr>
        <w:t xml:space="preserve"> (</w:t>
      </w:r>
      <w:r w:rsidR="00C0501C">
        <w:rPr>
          <w:lang w:val="en-US"/>
        </w:rPr>
        <w:t xml:space="preserve">NFI; </w:t>
      </w:r>
      <w:r w:rsidR="0090791D" w:rsidRPr="003E6336">
        <w:rPr>
          <w:b/>
          <w:lang w:val="en-US"/>
        </w:rPr>
        <w:t xml:space="preserve">Table </w:t>
      </w:r>
      <w:r w:rsidR="00E06416" w:rsidRPr="003E6336">
        <w:rPr>
          <w:b/>
          <w:lang w:val="en-US"/>
        </w:rPr>
        <w:t>1</w:t>
      </w:r>
      <w:r w:rsidR="0090791D" w:rsidRPr="003E6336">
        <w:rPr>
          <w:lang w:val="en-US"/>
        </w:rPr>
        <w:t>).</w:t>
      </w:r>
      <w:r w:rsidR="0090791D" w:rsidRPr="0090791D">
        <w:rPr>
          <w:lang w:val="en-US"/>
        </w:rPr>
        <w:t xml:space="preserve"> </w:t>
      </w:r>
      <w:r w:rsidR="00C0501C">
        <w:rPr>
          <w:lang w:val="en-US"/>
        </w:rPr>
        <w:t>The</w:t>
      </w:r>
      <w:r w:rsidR="004C1B99">
        <w:rPr>
          <w:lang w:val="en-US"/>
        </w:rPr>
        <w:t xml:space="preserve"> </w:t>
      </w:r>
      <w:r w:rsidR="00C0501C">
        <w:rPr>
          <w:lang w:val="en-US"/>
        </w:rPr>
        <w:t xml:space="preserve">inventory </w:t>
      </w:r>
      <w:r w:rsidR="004C1B99">
        <w:rPr>
          <w:lang w:val="en-US"/>
        </w:rPr>
        <w:t>of</w:t>
      </w:r>
      <w:r w:rsidR="00F45BEE" w:rsidRPr="0090791D">
        <w:rPr>
          <w:lang w:val="en-US"/>
        </w:rPr>
        <w:t xml:space="preserve"> </w:t>
      </w:r>
      <w:r w:rsidR="001027FD">
        <w:rPr>
          <w:lang w:val="en-US"/>
        </w:rPr>
        <w:t xml:space="preserve">systematically distributed </w:t>
      </w:r>
      <w:r w:rsidR="00F45BEE" w:rsidRPr="0090791D">
        <w:rPr>
          <w:lang w:val="en-US"/>
        </w:rPr>
        <w:t>sample plots</w:t>
      </w:r>
      <w:r w:rsidR="001027FD">
        <w:rPr>
          <w:lang w:val="en-US"/>
        </w:rPr>
        <w:t xml:space="preserve"> clustered within so called tracts across the</w:t>
      </w:r>
      <w:r w:rsidR="00C0501C" w:rsidRPr="00C0501C">
        <w:rPr>
          <w:lang w:val="en-US"/>
        </w:rPr>
        <w:t xml:space="preserve"> whole country</w:t>
      </w:r>
      <w:r w:rsidR="00F45BEE" w:rsidRPr="0090791D">
        <w:rPr>
          <w:lang w:val="en-US"/>
        </w:rPr>
        <w:t xml:space="preserve"> forms the basis for area estimates at the national</w:t>
      </w:r>
      <w:r w:rsidR="00F45BEE">
        <w:rPr>
          <w:lang w:val="en-US"/>
        </w:rPr>
        <w:t xml:space="preserve"> and</w:t>
      </w:r>
      <w:r w:rsidR="00F45BEE" w:rsidRPr="0090791D">
        <w:rPr>
          <w:lang w:val="en-US"/>
        </w:rPr>
        <w:t xml:space="preserve"> regional level</w:t>
      </w:r>
      <w:r w:rsidR="00F45BEE">
        <w:rPr>
          <w:lang w:val="en-US"/>
        </w:rPr>
        <w:t>s</w:t>
      </w:r>
      <w:r w:rsidR="00B81157" w:rsidRPr="00CE6AC2">
        <w:rPr>
          <w:rStyle w:val="FootnoteReference"/>
        </w:rPr>
        <w:footnoteReference w:id="4"/>
      </w:r>
      <w:r w:rsidR="00F45BEE">
        <w:rPr>
          <w:lang w:val="en-US"/>
        </w:rPr>
        <w:t xml:space="preserve">. </w:t>
      </w:r>
      <w:r w:rsidR="0090791D" w:rsidRPr="0090791D">
        <w:rPr>
          <w:lang w:val="en-US"/>
        </w:rPr>
        <w:t xml:space="preserve">The </w:t>
      </w:r>
      <w:r w:rsidR="00F45BEE">
        <w:rPr>
          <w:lang w:val="en-US"/>
        </w:rPr>
        <w:t>estimates</w:t>
      </w:r>
      <w:r w:rsidR="0090791D" w:rsidRPr="0090791D">
        <w:rPr>
          <w:lang w:val="en-US"/>
        </w:rPr>
        <w:t xml:space="preserve"> </w:t>
      </w:r>
      <w:r w:rsidR="001027FD">
        <w:rPr>
          <w:lang w:val="en-US"/>
        </w:rPr>
        <w:t xml:space="preserve">are </w:t>
      </w:r>
      <w:r w:rsidR="0090791D" w:rsidRPr="0090791D">
        <w:rPr>
          <w:lang w:val="en-US"/>
        </w:rPr>
        <w:t xml:space="preserve">based on </w:t>
      </w:r>
      <w:r w:rsidR="001027FD">
        <w:rPr>
          <w:lang w:val="en-US"/>
        </w:rPr>
        <w:t xml:space="preserve">data collected during </w:t>
      </w:r>
      <w:r w:rsidR="0090791D" w:rsidRPr="0090791D">
        <w:rPr>
          <w:lang w:val="en-US"/>
        </w:rPr>
        <w:t xml:space="preserve">five years </w:t>
      </w:r>
      <w:r w:rsidR="001027FD">
        <w:rPr>
          <w:lang w:val="en-US"/>
        </w:rPr>
        <w:t>(</w:t>
      </w:r>
      <w:r w:rsidR="001027FD" w:rsidRPr="00347505">
        <w:rPr>
          <w:lang w:val="en-US"/>
        </w:rPr>
        <w:t>2008-2012</w:t>
      </w:r>
      <w:r w:rsidR="001027FD">
        <w:rPr>
          <w:lang w:val="en-US"/>
        </w:rPr>
        <w:t xml:space="preserve">) while </w:t>
      </w:r>
      <w:r w:rsidR="00FF4F7E">
        <w:rPr>
          <w:lang w:val="en-US"/>
        </w:rPr>
        <w:t>roughly</w:t>
      </w:r>
      <w:r w:rsidR="001027FD">
        <w:rPr>
          <w:lang w:val="en-US"/>
        </w:rPr>
        <w:t xml:space="preserve"> a fifth</w:t>
      </w:r>
      <w:r w:rsidR="0090791D" w:rsidRPr="0090791D">
        <w:rPr>
          <w:lang w:val="en-US"/>
        </w:rPr>
        <w:t xml:space="preserve"> of all plots are </w:t>
      </w:r>
      <w:r w:rsidR="001027FD">
        <w:rPr>
          <w:lang w:val="en-US"/>
        </w:rPr>
        <w:t>inventoried</w:t>
      </w:r>
      <w:r w:rsidR="0090791D" w:rsidRPr="0090791D">
        <w:rPr>
          <w:lang w:val="en-US"/>
        </w:rPr>
        <w:t xml:space="preserve"> every year</w:t>
      </w:r>
      <w:r w:rsidR="00E06416">
        <w:rPr>
          <w:lang w:val="en-US"/>
        </w:rPr>
        <w:t>.</w:t>
      </w:r>
      <w:r w:rsidR="00F45BEE" w:rsidRPr="00F45BEE">
        <w:rPr>
          <w:lang w:val="en-US"/>
        </w:rPr>
        <w:t xml:space="preserve"> </w:t>
      </w:r>
      <w:r w:rsidR="00F45BEE" w:rsidRPr="0090791D">
        <w:rPr>
          <w:lang w:val="en-US"/>
        </w:rPr>
        <w:t xml:space="preserve">The inventory of </w:t>
      </w:r>
      <w:r w:rsidR="00F45BEE">
        <w:rPr>
          <w:lang w:val="en-US"/>
        </w:rPr>
        <w:t xml:space="preserve">terrestrial </w:t>
      </w:r>
      <w:r w:rsidR="00F45BEE" w:rsidRPr="0090791D">
        <w:rPr>
          <w:lang w:val="en-US"/>
        </w:rPr>
        <w:t>habitat</w:t>
      </w:r>
      <w:r w:rsidR="00F45BEE">
        <w:rPr>
          <w:lang w:val="en-US"/>
        </w:rPr>
        <w:t xml:space="preserve"> type</w:t>
      </w:r>
      <w:r w:rsidR="00F45BEE" w:rsidRPr="0090791D">
        <w:rPr>
          <w:lang w:val="en-US"/>
        </w:rPr>
        <w:t xml:space="preserve">s </w:t>
      </w:r>
      <w:r w:rsidR="00FF4F7E">
        <w:rPr>
          <w:lang w:val="en-US"/>
        </w:rPr>
        <w:t>started in</w:t>
      </w:r>
      <w:r w:rsidR="00F45BEE" w:rsidRPr="0090791D">
        <w:rPr>
          <w:lang w:val="en-US"/>
        </w:rPr>
        <w:t xml:space="preserve"> 2008</w:t>
      </w:r>
      <w:r w:rsidR="00F45BEE">
        <w:rPr>
          <w:lang w:val="en-US"/>
        </w:rPr>
        <w:t>.</w:t>
      </w:r>
      <w:r w:rsidR="00B81157">
        <w:rPr>
          <w:lang w:val="en-US"/>
        </w:rPr>
        <w:t xml:space="preserve"> </w:t>
      </w:r>
      <w:r w:rsidR="00374DAE" w:rsidRPr="00374DAE">
        <w:rPr>
          <w:lang w:val="en-US"/>
        </w:rPr>
        <w:t>Forests classified as habitat types of the EU Directive</w:t>
      </w:r>
      <w:r w:rsidR="00374DAE">
        <w:rPr>
          <w:lang w:val="en-US"/>
        </w:rPr>
        <w:t xml:space="preserve"> </w:t>
      </w:r>
      <w:r w:rsidR="00025FF1">
        <w:rPr>
          <w:lang w:val="en-US"/>
        </w:rPr>
        <w:t>need</w:t>
      </w:r>
      <w:r w:rsidR="00374DAE" w:rsidRPr="00374DAE">
        <w:rPr>
          <w:lang w:val="en-US"/>
        </w:rPr>
        <w:t xml:space="preserve"> </w:t>
      </w:r>
      <w:r w:rsidR="00025FF1">
        <w:rPr>
          <w:lang w:val="en-US"/>
        </w:rPr>
        <w:t xml:space="preserve">to </w:t>
      </w:r>
      <w:r w:rsidR="00374DAE" w:rsidRPr="00374DAE">
        <w:rPr>
          <w:lang w:val="en-US"/>
        </w:rPr>
        <w:t>cover a minimum area (≥0.25 hectares for habitats on mineral soils), have a canopy cover of trees ≥10% and fulfil a set of minimum criteria of naturalness, i.e. forests should have been naturally regenerated, not extensively affected by forestry during the last 25 years, and exhibit natural stand structure characteristics</w:t>
      </w:r>
      <w:r w:rsidR="00374DAE">
        <w:rPr>
          <w:lang w:val="en-US"/>
        </w:rPr>
        <w:t xml:space="preserve"> (Gardfjell &amp; Hagner 2016</w:t>
      </w:r>
      <w:r w:rsidR="00374DAE">
        <w:rPr>
          <w:rStyle w:val="FootnoteReference"/>
          <w:lang w:val="en-US"/>
        </w:rPr>
        <w:footnoteReference w:id="5"/>
      </w:r>
      <w:r w:rsidR="00374DAE" w:rsidRPr="0090791D">
        <w:rPr>
          <w:lang w:val="en-US"/>
        </w:rPr>
        <w:t>).</w:t>
      </w:r>
      <w:r w:rsidR="00374DAE" w:rsidRPr="00374DAE">
        <w:rPr>
          <w:lang w:val="en-US"/>
        </w:rPr>
        <w:t xml:space="preserve"> The latter implies that the stand age is at least 40 (or in some cases 20) years higher </w:t>
      </w:r>
      <w:r w:rsidR="00C22997">
        <w:rPr>
          <w:lang w:val="en-US"/>
        </w:rPr>
        <w:t xml:space="preserve">than </w:t>
      </w:r>
      <w:r w:rsidR="00374DAE" w:rsidRPr="00374DAE">
        <w:rPr>
          <w:lang w:val="en-US"/>
        </w:rPr>
        <w:t>the lowest recommended age of clear cutting, or that natural disturbances or management mimicking such disturbances affect the stand structure</w:t>
      </w:r>
      <w:r w:rsidR="00374DAE">
        <w:rPr>
          <w:lang w:val="en-US"/>
        </w:rPr>
        <w:t>.</w:t>
      </w:r>
    </w:p>
    <w:p w14:paraId="542F7EE3" w14:textId="77777777" w:rsidR="00A55381" w:rsidRDefault="00A55381" w:rsidP="005347E2">
      <w:pPr>
        <w:rPr>
          <w:lang w:val="en-US"/>
        </w:rPr>
      </w:pPr>
    </w:p>
    <w:p w14:paraId="3D23A2BB" w14:textId="77777777" w:rsidR="00B05E49" w:rsidRDefault="00C72DAF" w:rsidP="005347E2">
      <w:pPr>
        <w:rPr>
          <w:lang w:val="en-US"/>
        </w:rPr>
      </w:pPr>
      <w:r>
        <w:rPr>
          <w:b/>
          <w:lang w:val="en-US"/>
        </w:rPr>
        <w:t xml:space="preserve">Historical </w:t>
      </w:r>
      <w:r w:rsidR="00B05E49">
        <w:rPr>
          <w:b/>
          <w:lang w:val="en-US"/>
        </w:rPr>
        <w:t>t</w:t>
      </w:r>
      <w:r w:rsidR="005F7EBF" w:rsidRPr="00D33879">
        <w:rPr>
          <w:b/>
          <w:lang w:val="en-US"/>
        </w:rPr>
        <w:t>rends.</w:t>
      </w:r>
      <w:r w:rsidR="005F7EBF">
        <w:rPr>
          <w:lang w:val="en-US"/>
        </w:rPr>
        <w:t xml:space="preserve"> –</w:t>
      </w:r>
      <w:r w:rsidR="009F1168">
        <w:rPr>
          <w:lang w:val="en-US"/>
        </w:rPr>
        <w:t xml:space="preserve"> </w:t>
      </w:r>
      <w:r w:rsidR="00432FB5">
        <w:rPr>
          <w:lang w:val="en-US"/>
        </w:rPr>
        <w:t>Most pre-industrial landscapes of Sweden were characterized by e</w:t>
      </w:r>
      <w:r w:rsidR="009F1168">
        <w:rPr>
          <w:lang w:val="en-US"/>
        </w:rPr>
        <w:t xml:space="preserve">xtensive areas of </w:t>
      </w:r>
      <w:r w:rsidR="00D96B4B">
        <w:rPr>
          <w:lang w:val="en-US"/>
        </w:rPr>
        <w:t xml:space="preserve">natural forests </w:t>
      </w:r>
      <w:r w:rsidR="002274EA">
        <w:rPr>
          <w:lang w:val="en-US"/>
        </w:rPr>
        <w:t xml:space="preserve">affected by disturbances such as forest fires </w:t>
      </w:r>
      <w:r w:rsidR="00D96B4B">
        <w:rPr>
          <w:lang w:val="en-US"/>
        </w:rPr>
        <w:t xml:space="preserve">and low-intensive agrarian </w:t>
      </w:r>
      <w:r w:rsidR="00750FD1">
        <w:rPr>
          <w:lang w:val="en-US"/>
        </w:rPr>
        <w:t xml:space="preserve">human </w:t>
      </w:r>
      <w:r w:rsidR="00D96B4B">
        <w:rPr>
          <w:lang w:val="en-US"/>
        </w:rPr>
        <w:t xml:space="preserve">forest use. </w:t>
      </w:r>
      <w:r w:rsidR="002274EA">
        <w:rPr>
          <w:lang w:val="en-US"/>
        </w:rPr>
        <w:t xml:space="preserve">Major changes </w:t>
      </w:r>
      <w:r>
        <w:rPr>
          <w:lang w:val="en-US"/>
        </w:rPr>
        <w:t xml:space="preserve">in forest structure and functions </w:t>
      </w:r>
      <w:r w:rsidR="002274EA">
        <w:rPr>
          <w:lang w:val="en-US"/>
        </w:rPr>
        <w:t xml:space="preserve">occurred mainly during the last few centuries due to large-scale industrial forest </w:t>
      </w:r>
      <w:r>
        <w:rPr>
          <w:lang w:val="en-US"/>
        </w:rPr>
        <w:t>use</w:t>
      </w:r>
      <w:r w:rsidR="002274EA">
        <w:rPr>
          <w:lang w:val="en-US"/>
        </w:rPr>
        <w:t xml:space="preserve">. </w:t>
      </w:r>
      <w:r w:rsidR="00D96B4B">
        <w:rPr>
          <w:lang w:val="en-US"/>
        </w:rPr>
        <w:t xml:space="preserve">The </w:t>
      </w:r>
      <w:r w:rsidR="006E5EF4">
        <w:rPr>
          <w:lang w:val="en-US"/>
        </w:rPr>
        <w:t xml:space="preserve">industrialization and an increasing demand for timber </w:t>
      </w:r>
      <w:r w:rsidR="00750FD1">
        <w:rPr>
          <w:lang w:val="en-US"/>
        </w:rPr>
        <w:t xml:space="preserve">during </w:t>
      </w:r>
      <w:r w:rsidR="00093AF3">
        <w:rPr>
          <w:lang w:val="en-US"/>
        </w:rPr>
        <w:t xml:space="preserve">mainly </w:t>
      </w:r>
      <w:r w:rsidR="0067513A">
        <w:rPr>
          <w:lang w:val="en-US"/>
        </w:rPr>
        <w:t>in the 19-20</w:t>
      </w:r>
      <w:r w:rsidR="00750FD1" w:rsidRPr="00D96B4B">
        <w:rPr>
          <w:vertAlign w:val="superscript"/>
          <w:lang w:val="en-US"/>
        </w:rPr>
        <w:t>th</w:t>
      </w:r>
      <w:r w:rsidR="00750FD1">
        <w:rPr>
          <w:lang w:val="en-US"/>
        </w:rPr>
        <w:t xml:space="preserve"> centuries</w:t>
      </w:r>
      <w:r w:rsidR="0067513A">
        <w:rPr>
          <w:lang w:val="en-US"/>
        </w:rPr>
        <w:t xml:space="preserve"> </w:t>
      </w:r>
      <w:r w:rsidR="006E5EF4">
        <w:rPr>
          <w:lang w:val="en-US"/>
        </w:rPr>
        <w:t>initiated an</w:t>
      </w:r>
      <w:r w:rsidR="00D96B4B">
        <w:rPr>
          <w:lang w:val="en-US"/>
        </w:rPr>
        <w:t xml:space="preserve"> </w:t>
      </w:r>
      <w:r w:rsidR="006E5EF4">
        <w:rPr>
          <w:lang w:val="en-US"/>
        </w:rPr>
        <w:t>early phase of</w:t>
      </w:r>
      <w:r w:rsidR="00D96B4B">
        <w:rPr>
          <w:lang w:val="en-US"/>
        </w:rPr>
        <w:t xml:space="preserve"> </w:t>
      </w:r>
      <w:r w:rsidR="00750FD1">
        <w:rPr>
          <w:lang w:val="en-US"/>
        </w:rPr>
        <w:t xml:space="preserve">gradual intensified forest </w:t>
      </w:r>
      <w:r w:rsidR="006E5EF4">
        <w:rPr>
          <w:lang w:val="en-US"/>
        </w:rPr>
        <w:t>exploitation</w:t>
      </w:r>
      <w:r w:rsidR="00750FD1">
        <w:rPr>
          <w:lang w:val="en-US"/>
        </w:rPr>
        <w:t>s</w:t>
      </w:r>
      <w:r w:rsidR="00093AF3">
        <w:rPr>
          <w:lang w:val="en-US"/>
        </w:rPr>
        <w:t xml:space="preserve">. A timber frontier due to </w:t>
      </w:r>
      <w:r w:rsidR="00750FD1">
        <w:rPr>
          <w:lang w:val="en-US"/>
        </w:rPr>
        <w:t xml:space="preserve">selective logging of large timber trees </w:t>
      </w:r>
      <w:r w:rsidR="00883832">
        <w:rPr>
          <w:lang w:val="en-US"/>
        </w:rPr>
        <w:t>advanced</w:t>
      </w:r>
      <w:r w:rsidR="00093AF3">
        <w:rPr>
          <w:lang w:val="en-US"/>
        </w:rPr>
        <w:t xml:space="preserve"> northward and inland </w:t>
      </w:r>
      <w:r w:rsidR="00750FD1">
        <w:rPr>
          <w:lang w:val="en-US"/>
        </w:rPr>
        <w:t>(Östlund 1993</w:t>
      </w:r>
      <w:r w:rsidR="00750FD1">
        <w:rPr>
          <w:rStyle w:val="FootnoteReference"/>
          <w:lang w:val="en-US"/>
        </w:rPr>
        <w:footnoteReference w:id="6"/>
      </w:r>
      <w:r w:rsidR="00750FD1">
        <w:rPr>
          <w:lang w:val="en-US"/>
        </w:rPr>
        <w:t>)</w:t>
      </w:r>
      <w:r w:rsidR="002274EA">
        <w:rPr>
          <w:lang w:val="en-US"/>
        </w:rPr>
        <w:t>.</w:t>
      </w:r>
      <w:r w:rsidR="0005043E" w:rsidRPr="0005043E">
        <w:rPr>
          <w:lang w:val="en-US"/>
        </w:rPr>
        <w:t xml:space="preserve"> </w:t>
      </w:r>
      <w:r w:rsidR="00BD5848">
        <w:rPr>
          <w:lang w:val="en-US"/>
        </w:rPr>
        <w:t>Remnant f</w:t>
      </w:r>
      <w:r w:rsidR="00093AF3">
        <w:rPr>
          <w:lang w:val="en-US"/>
        </w:rPr>
        <w:t xml:space="preserve">orest stands </w:t>
      </w:r>
      <w:r w:rsidR="00883832">
        <w:rPr>
          <w:lang w:val="en-US"/>
        </w:rPr>
        <w:t>became</w:t>
      </w:r>
      <w:r w:rsidR="00093AF3">
        <w:rPr>
          <w:lang w:val="en-US"/>
        </w:rPr>
        <w:t xml:space="preserve"> sparser </w:t>
      </w:r>
      <w:r w:rsidR="00883832">
        <w:rPr>
          <w:lang w:val="en-US"/>
        </w:rPr>
        <w:t xml:space="preserve">and </w:t>
      </w:r>
      <w:r w:rsidR="00093AF3">
        <w:rPr>
          <w:lang w:val="en-US"/>
        </w:rPr>
        <w:t>contained f</w:t>
      </w:r>
      <w:r w:rsidR="00883832">
        <w:rPr>
          <w:lang w:val="en-US"/>
        </w:rPr>
        <w:t>ewer large trees than before the exploitation phase (Östlund et al. 1997</w:t>
      </w:r>
      <w:r w:rsidR="00883832">
        <w:rPr>
          <w:rStyle w:val="FootnoteReference"/>
          <w:lang w:val="en-US"/>
        </w:rPr>
        <w:footnoteReference w:id="7"/>
      </w:r>
      <w:r w:rsidR="00883832">
        <w:rPr>
          <w:lang w:val="en-US"/>
        </w:rPr>
        <w:t>)</w:t>
      </w:r>
      <w:r w:rsidR="00093AF3">
        <w:rPr>
          <w:lang w:val="en-US"/>
        </w:rPr>
        <w:t xml:space="preserve">. </w:t>
      </w:r>
      <w:r w:rsidR="005232F6">
        <w:rPr>
          <w:lang w:val="en-US"/>
        </w:rPr>
        <w:t>Natural disturbances such as forest fires were suppressed (</w:t>
      </w:r>
      <w:r w:rsidR="005232F6" w:rsidRPr="005232F6">
        <w:rPr>
          <w:lang w:val="en-US"/>
        </w:rPr>
        <w:t>Niklasson &amp; Granström 2000</w:t>
      </w:r>
      <w:r w:rsidR="005232F6">
        <w:rPr>
          <w:rStyle w:val="FootnoteReference"/>
          <w:lang w:val="en-US"/>
        </w:rPr>
        <w:footnoteReference w:id="8"/>
      </w:r>
      <w:r w:rsidR="005232F6" w:rsidRPr="005232F6">
        <w:rPr>
          <w:lang w:val="en-US"/>
        </w:rPr>
        <w:t>; Hellberg et al. 2004</w:t>
      </w:r>
      <w:r w:rsidR="005232F6">
        <w:rPr>
          <w:rStyle w:val="FootnoteReference"/>
          <w:lang w:val="en-US"/>
        </w:rPr>
        <w:footnoteReference w:id="9"/>
      </w:r>
      <w:r w:rsidR="005232F6">
        <w:rPr>
          <w:lang w:val="en-US"/>
        </w:rPr>
        <w:t xml:space="preserve">). </w:t>
      </w:r>
      <w:r w:rsidR="00883832">
        <w:rPr>
          <w:lang w:val="en-US"/>
        </w:rPr>
        <w:t xml:space="preserve">Still, largely unaffected forests </w:t>
      </w:r>
      <w:r w:rsidR="00D6362A">
        <w:rPr>
          <w:lang w:val="en-US"/>
        </w:rPr>
        <w:lastRenderedPageBreak/>
        <w:t>remained in</w:t>
      </w:r>
      <w:r w:rsidR="00883832">
        <w:rPr>
          <w:lang w:val="en-US"/>
        </w:rPr>
        <w:t xml:space="preserve"> the most remote and sparsely populated areas in </w:t>
      </w:r>
      <w:r w:rsidR="00D6362A">
        <w:rPr>
          <w:lang w:val="en-US"/>
        </w:rPr>
        <w:t xml:space="preserve">the </w:t>
      </w:r>
      <w:r>
        <w:rPr>
          <w:lang w:val="en-US"/>
        </w:rPr>
        <w:t>inland and northern</w:t>
      </w:r>
      <w:r w:rsidR="00D6362A">
        <w:rPr>
          <w:lang w:val="en-US"/>
        </w:rPr>
        <w:t xml:space="preserve"> regions.</w:t>
      </w:r>
      <w:r w:rsidR="00883832">
        <w:rPr>
          <w:lang w:val="en-US"/>
        </w:rPr>
        <w:t xml:space="preserve"> </w:t>
      </w:r>
      <w:r w:rsidR="00D6362A">
        <w:rPr>
          <w:lang w:val="en-US"/>
        </w:rPr>
        <w:t xml:space="preserve">In the 1950s, modern clear-cutting forestry were introduced resulting in </w:t>
      </w:r>
      <w:r w:rsidR="005232F6">
        <w:rPr>
          <w:lang w:val="en-US"/>
        </w:rPr>
        <w:t xml:space="preserve">rationalized </w:t>
      </w:r>
      <w:r w:rsidR="00D6362A">
        <w:rPr>
          <w:lang w:val="en-US"/>
        </w:rPr>
        <w:t>forest structure</w:t>
      </w:r>
      <w:r w:rsidR="005232F6">
        <w:rPr>
          <w:lang w:val="en-US"/>
        </w:rPr>
        <w:t>; a successive transformation</w:t>
      </w:r>
      <w:r w:rsidR="005232F6" w:rsidRPr="005232F6">
        <w:rPr>
          <w:lang w:val="en-US"/>
        </w:rPr>
        <w:t xml:space="preserve"> towards </w:t>
      </w:r>
      <w:r>
        <w:rPr>
          <w:lang w:val="en-US"/>
        </w:rPr>
        <w:t>monocultures</w:t>
      </w:r>
      <w:r w:rsidR="005232F6" w:rsidRPr="005232F6">
        <w:rPr>
          <w:lang w:val="en-US"/>
        </w:rPr>
        <w:t xml:space="preserve"> and even-aged production forests</w:t>
      </w:r>
      <w:r w:rsidR="005232F6">
        <w:rPr>
          <w:lang w:val="en-US"/>
        </w:rPr>
        <w:t xml:space="preserve"> (Östlund et al. 1997; Linder &amp; Östlund 1998</w:t>
      </w:r>
      <w:r w:rsidR="005232F6">
        <w:rPr>
          <w:rStyle w:val="FootnoteReference"/>
          <w:lang w:val="en-US"/>
        </w:rPr>
        <w:footnoteReference w:id="10"/>
      </w:r>
      <w:r w:rsidR="005232F6">
        <w:rPr>
          <w:lang w:val="en-US"/>
        </w:rPr>
        <w:t>).</w:t>
      </w:r>
      <w:r>
        <w:rPr>
          <w:lang w:val="en-US"/>
        </w:rPr>
        <w:t xml:space="preserve"> Coniferous species (</w:t>
      </w:r>
      <w:r w:rsidRPr="00C72DAF">
        <w:rPr>
          <w:i/>
          <w:lang w:val="en-US"/>
        </w:rPr>
        <w:t>Pinus sylvestris</w:t>
      </w:r>
      <w:r>
        <w:rPr>
          <w:lang w:val="en-US"/>
        </w:rPr>
        <w:t xml:space="preserve"> and </w:t>
      </w:r>
      <w:r w:rsidRPr="00C72DAF">
        <w:rPr>
          <w:i/>
          <w:lang w:val="en-US"/>
        </w:rPr>
        <w:t>Picea abies</w:t>
      </w:r>
      <w:r>
        <w:rPr>
          <w:lang w:val="en-US"/>
        </w:rPr>
        <w:t>)</w:t>
      </w:r>
      <w:r w:rsidR="005232F6">
        <w:rPr>
          <w:lang w:val="en-US"/>
        </w:rPr>
        <w:t xml:space="preserve"> </w:t>
      </w:r>
      <w:r>
        <w:rPr>
          <w:lang w:val="en-US"/>
        </w:rPr>
        <w:t>were promoted. Cleaning, selective thinning and herbicide treatments were used to remove deciduous trees and other species with low economical values.</w:t>
      </w:r>
    </w:p>
    <w:p w14:paraId="1B26B8BA" w14:textId="77777777" w:rsidR="0067513A" w:rsidRDefault="0067513A" w:rsidP="005347E2">
      <w:pPr>
        <w:rPr>
          <w:lang w:val="en-US"/>
        </w:rPr>
      </w:pPr>
    </w:p>
    <w:p w14:paraId="3789746A" w14:textId="77777777" w:rsidR="0067513A" w:rsidRDefault="00403EC8" w:rsidP="005347E2">
      <w:pPr>
        <w:rPr>
          <w:lang w:val="en-US"/>
        </w:rPr>
      </w:pPr>
      <w:r w:rsidRPr="00403EC8">
        <w:rPr>
          <w:lang w:val="en-US"/>
        </w:rPr>
        <w:t>Th</w:t>
      </w:r>
      <w:r w:rsidR="008401BE">
        <w:rPr>
          <w:lang w:val="en-US"/>
        </w:rPr>
        <w:t>us, th</w:t>
      </w:r>
      <w:r w:rsidRPr="00403EC8">
        <w:rPr>
          <w:lang w:val="en-US"/>
        </w:rPr>
        <w:t xml:space="preserve">e pre-industrial forest </w:t>
      </w:r>
      <w:r>
        <w:rPr>
          <w:lang w:val="en-US"/>
        </w:rPr>
        <w:t xml:space="preserve">landscapes </w:t>
      </w:r>
      <w:r w:rsidR="000462FD">
        <w:rPr>
          <w:lang w:val="en-US"/>
        </w:rPr>
        <w:t>are</w:t>
      </w:r>
      <w:r>
        <w:rPr>
          <w:lang w:val="en-US"/>
        </w:rPr>
        <w:t xml:space="preserve"> </w:t>
      </w:r>
      <w:r w:rsidR="000462FD">
        <w:rPr>
          <w:lang w:val="en-US"/>
        </w:rPr>
        <w:t>important</w:t>
      </w:r>
      <w:r>
        <w:rPr>
          <w:lang w:val="en-US"/>
        </w:rPr>
        <w:t xml:space="preserve"> reference</w:t>
      </w:r>
      <w:r w:rsidR="000462FD">
        <w:rPr>
          <w:lang w:val="en-US"/>
        </w:rPr>
        <w:t>s for conservation</w:t>
      </w:r>
      <w:r>
        <w:rPr>
          <w:lang w:val="en-US"/>
        </w:rPr>
        <w:t xml:space="preserve"> (Angelstam &amp; Andersson 2001</w:t>
      </w:r>
      <w:r w:rsidR="000462FD">
        <w:rPr>
          <w:rStyle w:val="FootnoteReference"/>
          <w:lang w:val="en-US"/>
        </w:rPr>
        <w:footnoteReference w:id="11"/>
      </w:r>
      <w:r>
        <w:rPr>
          <w:lang w:val="en-US"/>
        </w:rPr>
        <w:t>, Löhmus et al. 2004</w:t>
      </w:r>
      <w:r w:rsidR="000462FD">
        <w:rPr>
          <w:rStyle w:val="FootnoteReference"/>
          <w:lang w:val="en-US"/>
        </w:rPr>
        <w:footnoteReference w:id="12"/>
      </w:r>
      <w:r>
        <w:rPr>
          <w:lang w:val="en-US"/>
        </w:rPr>
        <w:t xml:space="preserve">). </w:t>
      </w:r>
      <w:r w:rsidR="000462FD">
        <w:rPr>
          <w:lang w:val="en-US"/>
        </w:rPr>
        <w:t xml:space="preserve">In </w:t>
      </w:r>
      <w:r w:rsidR="008401BE">
        <w:rPr>
          <w:lang w:val="en-US"/>
        </w:rPr>
        <w:t xml:space="preserve">most parts of </w:t>
      </w:r>
      <w:r w:rsidR="000462FD">
        <w:rPr>
          <w:lang w:val="en-US"/>
        </w:rPr>
        <w:t xml:space="preserve">the boreal region, </w:t>
      </w:r>
      <w:r w:rsidR="00ED1D5A">
        <w:rPr>
          <w:lang w:val="en-US"/>
        </w:rPr>
        <w:t>the majority</w:t>
      </w:r>
      <w:r w:rsidR="008401BE">
        <w:rPr>
          <w:lang w:val="en-US"/>
        </w:rPr>
        <w:t xml:space="preserve"> (90-95%) of n</w:t>
      </w:r>
      <w:r w:rsidR="000462FD">
        <w:rPr>
          <w:lang w:val="en-US"/>
        </w:rPr>
        <w:t xml:space="preserve">atural forests, including habitat types such as </w:t>
      </w:r>
      <w:r>
        <w:rPr>
          <w:lang w:val="en-US"/>
        </w:rPr>
        <w:t>Western Taiga 9010</w:t>
      </w:r>
      <w:r w:rsidR="000462FD">
        <w:rPr>
          <w:lang w:val="en-US"/>
        </w:rPr>
        <w:t xml:space="preserve">, </w:t>
      </w:r>
      <w:r w:rsidR="008401BE">
        <w:rPr>
          <w:lang w:val="en-US"/>
        </w:rPr>
        <w:t>have been lost and fundamentally transformed in terms of structure and functions (Linder &amp; Östlund 1998; Axelsson et al. 2001</w:t>
      </w:r>
      <w:r w:rsidR="008401BE">
        <w:rPr>
          <w:rStyle w:val="FootnoteReference"/>
          <w:lang w:val="en-US"/>
        </w:rPr>
        <w:footnoteReference w:id="13"/>
      </w:r>
      <w:r w:rsidR="008401BE">
        <w:rPr>
          <w:lang w:val="en-US"/>
        </w:rPr>
        <w:t xml:space="preserve">). </w:t>
      </w:r>
      <w:r w:rsidR="00672DB9">
        <w:rPr>
          <w:lang w:val="en-US"/>
        </w:rPr>
        <w:t xml:space="preserve">Some specific habitat </w:t>
      </w:r>
      <w:r w:rsidR="00981640">
        <w:rPr>
          <w:lang w:val="en-US"/>
        </w:rPr>
        <w:t>sub</w:t>
      </w:r>
      <w:r w:rsidR="00672DB9">
        <w:rPr>
          <w:lang w:val="en-US"/>
        </w:rPr>
        <w:t xml:space="preserve">types have been more or less eradicated; e.g. early successional stages (following fire or flooding) with large amounts of dead wood, successional deciduous forests and multi-cohort old-growth pine forests. </w:t>
      </w:r>
    </w:p>
    <w:p w14:paraId="2F43CCDE" w14:textId="77777777" w:rsidR="0067513A" w:rsidRDefault="0067513A" w:rsidP="005347E2">
      <w:pPr>
        <w:rPr>
          <w:lang w:val="en-US"/>
        </w:rPr>
      </w:pPr>
    </w:p>
    <w:p w14:paraId="571729A1" w14:textId="77777777" w:rsidR="0067513A" w:rsidRDefault="0067513A" w:rsidP="0067513A">
      <w:pPr>
        <w:rPr>
          <w:lang w:val="en-US"/>
        </w:rPr>
      </w:pPr>
      <w:r>
        <w:rPr>
          <w:b/>
          <w:lang w:val="en-US"/>
        </w:rPr>
        <w:t>Recent t</w:t>
      </w:r>
      <w:r w:rsidRPr="00D33879">
        <w:rPr>
          <w:b/>
          <w:lang w:val="en-US"/>
        </w:rPr>
        <w:t>rends.</w:t>
      </w:r>
      <w:r>
        <w:rPr>
          <w:lang w:val="en-US"/>
        </w:rPr>
        <w:t xml:space="preserve"> – </w:t>
      </w:r>
      <w:r w:rsidRPr="00E055E7">
        <w:rPr>
          <w:lang w:val="en-US"/>
        </w:rPr>
        <w:t>The inventory of terrestrial habitat types has been done only at one point in time since the start in 2008. The trend during the period 2001-2012 can therefore not be quantified for individual habitat types due to the lack of re-inventory data. The trend is therefore assessed by extrap</w:t>
      </w:r>
      <w:r w:rsidRPr="00347505">
        <w:rPr>
          <w:lang w:val="en-US"/>
        </w:rPr>
        <w:t>olating overall trends revealed by national statistics, research studies or other information to the habitat type and biogeographical region concerned. Thus, the overall trends are assumed indicating the likely direction of the trend of the habitat type.</w:t>
      </w:r>
    </w:p>
    <w:p w14:paraId="2EA4DC2F" w14:textId="77777777" w:rsidR="0067513A" w:rsidRDefault="0067513A" w:rsidP="0067513A">
      <w:pPr>
        <w:rPr>
          <w:lang w:val="en-US"/>
        </w:rPr>
      </w:pPr>
    </w:p>
    <w:p w14:paraId="059FB09F" w14:textId="77777777" w:rsidR="0067513A" w:rsidRDefault="003D49F2" w:rsidP="0067513A">
      <w:pPr>
        <w:rPr>
          <w:lang w:val="en-US"/>
        </w:rPr>
      </w:pPr>
      <w:r w:rsidRPr="003D49F2">
        <w:rPr>
          <w:lang w:val="en-US"/>
        </w:rPr>
        <w:t xml:space="preserve">The alpine region have the shortest and least intense history of industrial forest use. </w:t>
      </w:r>
      <w:r>
        <w:rPr>
          <w:lang w:val="en-US"/>
        </w:rPr>
        <w:t xml:space="preserve">The majority of forests that </w:t>
      </w:r>
      <w:r w:rsidR="003D07B7">
        <w:rPr>
          <w:lang w:val="en-US"/>
        </w:rPr>
        <w:t xml:space="preserve">currently </w:t>
      </w:r>
      <w:r>
        <w:rPr>
          <w:lang w:val="en-US"/>
        </w:rPr>
        <w:t xml:space="preserve">are clear cut </w:t>
      </w:r>
      <w:r w:rsidR="003D07B7">
        <w:rPr>
          <w:lang w:val="en-US"/>
        </w:rPr>
        <w:t xml:space="preserve">are likely to still be in a relatively natural state while they </w:t>
      </w:r>
      <w:r w:rsidR="000C10C1">
        <w:rPr>
          <w:lang w:val="en-US"/>
        </w:rPr>
        <w:t>not</w:t>
      </w:r>
      <w:r w:rsidR="003D07B7">
        <w:rPr>
          <w:lang w:val="en-US"/>
        </w:rPr>
        <w:t xml:space="preserve"> </w:t>
      </w:r>
      <w:r w:rsidR="000C10C1">
        <w:rPr>
          <w:lang w:val="en-US"/>
        </w:rPr>
        <w:t xml:space="preserve">or to a small extent have </w:t>
      </w:r>
      <w:r w:rsidR="003D07B7">
        <w:rPr>
          <w:lang w:val="en-US"/>
        </w:rPr>
        <w:t xml:space="preserve">been </w:t>
      </w:r>
      <w:r>
        <w:rPr>
          <w:lang w:val="en-US"/>
        </w:rPr>
        <w:t xml:space="preserve">affected by modern forestry </w:t>
      </w:r>
      <w:r w:rsidR="003D07B7">
        <w:rPr>
          <w:lang w:val="en-US"/>
        </w:rPr>
        <w:t>before</w:t>
      </w:r>
      <w:r w:rsidR="0067513A" w:rsidRPr="00A55381">
        <w:rPr>
          <w:lang w:val="en-US"/>
        </w:rPr>
        <w:t xml:space="preserve">. </w:t>
      </w:r>
      <w:r w:rsidR="003D07B7">
        <w:rPr>
          <w:lang w:val="en-US"/>
        </w:rPr>
        <w:t xml:space="preserve">Thus, the area of clear cut forests </w:t>
      </w:r>
      <w:r w:rsidR="00E35D93">
        <w:rPr>
          <w:lang w:val="en-US"/>
        </w:rPr>
        <w:t xml:space="preserve">in the alpine region </w:t>
      </w:r>
      <w:r w:rsidR="003D07B7">
        <w:rPr>
          <w:lang w:val="en-US"/>
        </w:rPr>
        <w:t xml:space="preserve">may indicate the likely </w:t>
      </w:r>
      <w:r w:rsidR="00E35D93">
        <w:rPr>
          <w:lang w:val="en-US"/>
        </w:rPr>
        <w:t xml:space="preserve">regional </w:t>
      </w:r>
      <w:r w:rsidR="003D07B7">
        <w:rPr>
          <w:lang w:val="en-US"/>
        </w:rPr>
        <w:t>loss of forest habitat types</w:t>
      </w:r>
      <w:r w:rsidR="00E35D93">
        <w:rPr>
          <w:lang w:val="en-US"/>
        </w:rPr>
        <w:t xml:space="preserve"> such as the Western Taiga 9010</w:t>
      </w:r>
      <w:r w:rsidR="003D07B7">
        <w:rPr>
          <w:lang w:val="en-US"/>
        </w:rPr>
        <w:t xml:space="preserve">. </w:t>
      </w:r>
      <w:r w:rsidR="0067513A" w:rsidRPr="00A55381">
        <w:rPr>
          <w:lang w:val="en-US"/>
        </w:rPr>
        <w:t>The area of subalpine forests notified for clear cutting in the years 2005 to 2011 corres</w:t>
      </w:r>
      <w:r w:rsidR="0067513A">
        <w:rPr>
          <w:lang w:val="en-US"/>
        </w:rPr>
        <w:t>ponds to about 2,000 to 3,000 hectares</w:t>
      </w:r>
      <w:r w:rsidR="0067513A" w:rsidRPr="00A55381">
        <w:rPr>
          <w:lang w:val="en-US"/>
        </w:rPr>
        <w:t xml:space="preserve"> per year (Statis</w:t>
      </w:r>
      <w:r w:rsidR="0067513A">
        <w:rPr>
          <w:lang w:val="en-US"/>
        </w:rPr>
        <w:t>tical Yearbook of Forestry 2012</w:t>
      </w:r>
      <w:r w:rsidR="0067513A">
        <w:rPr>
          <w:rStyle w:val="FootnoteReference"/>
          <w:lang w:val="en-US"/>
        </w:rPr>
        <w:footnoteReference w:id="14"/>
      </w:r>
      <w:r w:rsidR="0067513A">
        <w:rPr>
          <w:lang w:val="en-US"/>
        </w:rPr>
        <w:t>),</w:t>
      </w:r>
      <w:r w:rsidR="0067513A" w:rsidRPr="00A55381">
        <w:rPr>
          <w:lang w:val="en-US"/>
        </w:rPr>
        <w:t xml:space="preserve"> which sum up to about 45,000 to 50,000 </w:t>
      </w:r>
      <w:r w:rsidR="0067513A">
        <w:rPr>
          <w:lang w:val="en-US"/>
        </w:rPr>
        <w:t>hectares</w:t>
      </w:r>
      <w:r w:rsidR="0067513A" w:rsidRPr="00A55381">
        <w:rPr>
          <w:lang w:val="en-US"/>
        </w:rPr>
        <w:t xml:space="preserve"> in total since 1995. Further, the Swedish Forest Agency’s data</w:t>
      </w:r>
      <w:r w:rsidR="0067513A">
        <w:rPr>
          <w:lang w:val="en-US"/>
        </w:rPr>
        <w:t xml:space="preserve"> (</w:t>
      </w:r>
      <w:hyperlink r:id="rId13" w:history="1">
        <w:r w:rsidR="0067513A" w:rsidRPr="00865BF1">
          <w:rPr>
            <w:rStyle w:val="Hyperlink"/>
            <w:lang w:val="en-US"/>
          </w:rPr>
          <w:t>link</w:t>
        </w:r>
      </w:hyperlink>
      <w:r w:rsidR="0067513A">
        <w:rPr>
          <w:lang w:val="en-US"/>
        </w:rPr>
        <w:t>) indicate that 70,000 hectares</w:t>
      </w:r>
      <w:r w:rsidR="0067513A" w:rsidRPr="00A55381">
        <w:rPr>
          <w:lang w:val="en-US"/>
        </w:rPr>
        <w:t xml:space="preserve"> of forest were clear cut in the alpine region of the counties Norrbotten, Västerbotten and Jämtland during 2001-2012, corresponding to the cutting</w:t>
      </w:r>
      <w:r w:rsidR="0067513A">
        <w:rPr>
          <w:lang w:val="en-US"/>
        </w:rPr>
        <w:t xml:space="preserve"> of 5,000 to 6,000 hectares per year</w:t>
      </w:r>
      <w:r w:rsidR="0067513A" w:rsidRPr="00A55381">
        <w:rPr>
          <w:lang w:val="en-US"/>
        </w:rPr>
        <w:t xml:space="preserve">. </w:t>
      </w:r>
      <w:r w:rsidR="00432FB5">
        <w:rPr>
          <w:lang w:val="en-US"/>
        </w:rPr>
        <w:t xml:space="preserve">Based on this information, the total loss of </w:t>
      </w:r>
      <w:r w:rsidR="00900A48">
        <w:rPr>
          <w:lang w:val="en-US"/>
        </w:rPr>
        <w:t xml:space="preserve">Western Taiga </w:t>
      </w:r>
      <w:r w:rsidR="00900A48" w:rsidRPr="002B5EE7">
        <w:rPr>
          <w:lang w:val="en-US"/>
        </w:rPr>
        <w:t xml:space="preserve">9010 </w:t>
      </w:r>
      <w:r w:rsidR="00432FB5">
        <w:rPr>
          <w:lang w:val="en-US"/>
        </w:rPr>
        <w:t>since 1995 is assumed to be around 50,000 hectares</w:t>
      </w:r>
      <w:r w:rsidR="0067513A">
        <w:rPr>
          <w:lang w:val="en-US"/>
        </w:rPr>
        <w:t>.</w:t>
      </w:r>
    </w:p>
    <w:p w14:paraId="5A478A6B" w14:textId="77777777" w:rsidR="00981640" w:rsidRDefault="00981640" w:rsidP="0067513A">
      <w:pPr>
        <w:rPr>
          <w:lang w:val="en-US"/>
        </w:rPr>
      </w:pPr>
    </w:p>
    <w:p w14:paraId="05960FBA" w14:textId="77777777" w:rsidR="0067513A" w:rsidRDefault="001B3A6E" w:rsidP="0067513A">
      <w:pPr>
        <w:rPr>
          <w:lang w:val="en-US"/>
        </w:rPr>
      </w:pPr>
      <w:r>
        <w:rPr>
          <w:lang w:val="en-US"/>
        </w:rPr>
        <w:t xml:space="preserve">The area of clear cut forests cannot readily be used as indicator of recent area loss in the boreal region due to the more complex and varying </w:t>
      </w:r>
      <w:r w:rsidR="006D503B">
        <w:rPr>
          <w:lang w:val="en-US"/>
        </w:rPr>
        <w:t xml:space="preserve">history of industrial </w:t>
      </w:r>
      <w:r w:rsidR="006D503B">
        <w:rPr>
          <w:lang w:val="en-US"/>
        </w:rPr>
        <w:lastRenderedPageBreak/>
        <w:t>forest use</w:t>
      </w:r>
      <w:r>
        <w:rPr>
          <w:lang w:val="en-US"/>
        </w:rPr>
        <w:t xml:space="preserve">. Most forests clear cut forests have already </w:t>
      </w:r>
      <w:r w:rsidR="00181013">
        <w:rPr>
          <w:lang w:val="en-US"/>
        </w:rPr>
        <w:t>been managed and lack the natural structure and functions characterizing Western Taiga 9010.</w:t>
      </w:r>
      <w:r w:rsidR="006D503B">
        <w:rPr>
          <w:lang w:val="en-US"/>
        </w:rPr>
        <w:t xml:space="preserve"> </w:t>
      </w:r>
      <w:r w:rsidR="00981640">
        <w:rPr>
          <w:lang w:val="en-US"/>
        </w:rPr>
        <w:t>Data on recent trends in the boreal region</w:t>
      </w:r>
      <w:r w:rsidR="002B5EE7">
        <w:rPr>
          <w:lang w:val="en-US"/>
        </w:rPr>
        <w:t xml:space="preserve"> are </w:t>
      </w:r>
      <w:r w:rsidR="001E3839">
        <w:rPr>
          <w:lang w:val="en-US"/>
        </w:rPr>
        <w:t xml:space="preserve">therefore </w:t>
      </w:r>
      <w:r w:rsidR="00E74A63">
        <w:rPr>
          <w:lang w:val="en-US"/>
        </w:rPr>
        <w:t>generally</w:t>
      </w:r>
      <w:r w:rsidR="002B5EE7">
        <w:rPr>
          <w:lang w:val="en-US"/>
        </w:rPr>
        <w:t xml:space="preserve"> lacking.</w:t>
      </w:r>
      <w:r w:rsidR="002B5EE7" w:rsidRPr="002B5EE7">
        <w:rPr>
          <w:lang w:val="en-US"/>
        </w:rPr>
        <w:t xml:space="preserve"> </w:t>
      </w:r>
      <w:r w:rsidR="002B5EE7" w:rsidRPr="00E055E7">
        <w:rPr>
          <w:lang w:val="en-US"/>
        </w:rPr>
        <w:t xml:space="preserve">To assess the likely </w:t>
      </w:r>
      <w:r w:rsidR="00387A2C" w:rsidRPr="00485C45">
        <w:rPr>
          <w:lang w:val="en-US"/>
        </w:rPr>
        <w:t xml:space="preserve">recent </w:t>
      </w:r>
      <w:r w:rsidR="002B5EE7" w:rsidRPr="00485C45">
        <w:rPr>
          <w:lang w:val="en-US"/>
        </w:rPr>
        <w:t xml:space="preserve">trend, data from permanent plots of NFI were analyzed. </w:t>
      </w:r>
      <w:r w:rsidR="001E1ACB" w:rsidRPr="00347505">
        <w:rPr>
          <w:lang w:val="en-US"/>
        </w:rPr>
        <w:t>P</w:t>
      </w:r>
      <w:r w:rsidR="002B5EE7" w:rsidRPr="00347505">
        <w:rPr>
          <w:lang w:val="en-US"/>
        </w:rPr>
        <w:t xml:space="preserve">lots </w:t>
      </w:r>
      <w:r w:rsidR="001E1ACB" w:rsidRPr="00347505">
        <w:rPr>
          <w:lang w:val="en-US"/>
        </w:rPr>
        <w:t>visited during the previous five-year period (2003-2007) were</w:t>
      </w:r>
      <w:r w:rsidR="002B5EE7" w:rsidRPr="00347505">
        <w:rPr>
          <w:lang w:val="en-US"/>
        </w:rPr>
        <w:t xml:space="preserve"> classified to Western Taiga 9010 based on collected field data. </w:t>
      </w:r>
      <w:r w:rsidR="001E1ACB" w:rsidRPr="00347505">
        <w:rPr>
          <w:lang w:val="en-US"/>
        </w:rPr>
        <w:t>The number of plots were compared between the two periods (2003-2007 and 2008-2012).</w:t>
      </w:r>
      <w:r w:rsidR="001E1ACB">
        <w:rPr>
          <w:lang w:val="en-US"/>
        </w:rPr>
        <w:t xml:space="preserve"> </w:t>
      </w:r>
      <w:r w:rsidR="002B5EE7">
        <w:rPr>
          <w:lang w:val="en-US"/>
        </w:rPr>
        <w:t xml:space="preserve">The results showed that </w:t>
      </w:r>
      <w:r w:rsidR="002B5EE7" w:rsidRPr="002B5EE7">
        <w:rPr>
          <w:lang w:val="en-US"/>
        </w:rPr>
        <w:t xml:space="preserve">43 / (43 +482) = 8.2% of the permanent plots outside formally protected areas was clear cut during the last </w:t>
      </w:r>
      <w:r w:rsidR="00387A2C">
        <w:rPr>
          <w:lang w:val="en-US"/>
        </w:rPr>
        <w:t>five</w:t>
      </w:r>
      <w:r w:rsidR="002B5EE7" w:rsidRPr="002B5EE7">
        <w:rPr>
          <w:lang w:val="en-US"/>
        </w:rPr>
        <w:t xml:space="preserve"> years (no plot was cut in protected areas that was used as controls). Thus, 1.7% of the permanent sample plots located outside res</w:t>
      </w:r>
      <w:r w:rsidR="009803CC">
        <w:rPr>
          <w:lang w:val="en-US"/>
        </w:rPr>
        <w:t>erves was clear cut every year.</w:t>
      </w:r>
    </w:p>
    <w:p w14:paraId="68E618C7" w14:textId="77777777" w:rsidR="002D63BB" w:rsidRPr="00D33879" w:rsidRDefault="002D63BB" w:rsidP="00170418">
      <w:pPr>
        <w:pStyle w:val="Heading3"/>
        <w:rPr>
          <w:b/>
          <w:lang w:val="en-US"/>
        </w:rPr>
      </w:pPr>
      <w:bookmarkStart w:id="3" w:name="_Toc121684105"/>
      <w:r>
        <w:rPr>
          <w:b/>
          <w:lang w:val="en-US"/>
        </w:rPr>
        <w:t>Step 2</w:t>
      </w:r>
      <w:r w:rsidRPr="00D33879">
        <w:rPr>
          <w:b/>
          <w:lang w:val="en-US"/>
        </w:rPr>
        <w:t xml:space="preserve">. </w:t>
      </w:r>
      <w:r w:rsidR="00170418">
        <w:rPr>
          <w:lang w:val="en-US"/>
        </w:rPr>
        <w:t>A</w:t>
      </w:r>
      <w:r w:rsidRPr="00170418">
        <w:rPr>
          <w:lang w:val="en-US"/>
        </w:rPr>
        <w:t>pply</w:t>
      </w:r>
      <w:r w:rsidR="00170418">
        <w:rPr>
          <w:lang w:val="en-US"/>
        </w:rPr>
        <w:t>ing</w:t>
      </w:r>
      <w:r w:rsidRPr="002D63BB">
        <w:rPr>
          <w:lang w:val="en-US"/>
        </w:rPr>
        <w:t xml:space="preserve"> the reference-based approach </w:t>
      </w:r>
      <w:r w:rsidR="00170418">
        <w:rPr>
          <w:lang w:val="en-US"/>
        </w:rPr>
        <w:t>(2a) for</w:t>
      </w:r>
      <w:r w:rsidRPr="002D63BB">
        <w:rPr>
          <w:lang w:val="en-US"/>
        </w:rPr>
        <w:t xml:space="preserve"> setting the FRAs</w:t>
      </w:r>
      <w:bookmarkEnd w:id="3"/>
    </w:p>
    <w:p w14:paraId="5E516BB3" w14:textId="77777777" w:rsidR="0018084B" w:rsidRDefault="00170418" w:rsidP="00BC1CFA">
      <w:pPr>
        <w:rPr>
          <w:lang w:val="en-US"/>
        </w:rPr>
      </w:pPr>
      <w:r>
        <w:rPr>
          <w:lang w:val="en-US"/>
        </w:rPr>
        <w:t>T</w:t>
      </w:r>
      <w:r w:rsidR="002D63BB">
        <w:rPr>
          <w:lang w:val="en-US"/>
        </w:rPr>
        <w:t>he refer</w:t>
      </w:r>
      <w:r>
        <w:rPr>
          <w:lang w:val="en-US"/>
        </w:rPr>
        <w:t>ence-based approach (2a) is cho</w:t>
      </w:r>
      <w:r w:rsidR="002D63BB">
        <w:rPr>
          <w:lang w:val="en-US"/>
        </w:rPr>
        <w:t xml:space="preserve">sen for setting the FRAs of the Western Taiga </w:t>
      </w:r>
      <w:r>
        <w:rPr>
          <w:lang w:val="en-US"/>
        </w:rPr>
        <w:t xml:space="preserve">9010 </w:t>
      </w:r>
      <w:r w:rsidR="002D63BB">
        <w:rPr>
          <w:lang w:val="en-US"/>
        </w:rPr>
        <w:t xml:space="preserve">in the biogeographical regions concerned. </w:t>
      </w:r>
    </w:p>
    <w:p w14:paraId="749D90F5" w14:textId="77777777" w:rsidR="0018084B" w:rsidRDefault="0018084B" w:rsidP="00BC1CFA">
      <w:pPr>
        <w:rPr>
          <w:lang w:val="en-US"/>
        </w:rPr>
      </w:pPr>
    </w:p>
    <w:p w14:paraId="5BCF0C86" w14:textId="77777777" w:rsidR="00170418" w:rsidRDefault="00170418" w:rsidP="00BC1CFA">
      <w:pPr>
        <w:rPr>
          <w:lang w:val="en-US"/>
        </w:rPr>
      </w:pPr>
      <w:r>
        <w:rPr>
          <w:lang w:val="en-US"/>
        </w:rPr>
        <w:t>The FRAs are</w:t>
      </w:r>
      <w:r w:rsidRPr="00170418">
        <w:rPr>
          <w:lang w:val="en-US"/>
        </w:rPr>
        <w:t xml:space="preserve"> assessed in the same way as </w:t>
      </w:r>
      <w:r>
        <w:rPr>
          <w:lang w:val="en-US"/>
        </w:rPr>
        <w:t xml:space="preserve">the </w:t>
      </w:r>
      <w:r w:rsidRPr="00170418">
        <w:rPr>
          <w:lang w:val="en-US"/>
        </w:rPr>
        <w:t xml:space="preserve">minimum forest reserve needs have been estimated </w:t>
      </w:r>
      <w:r>
        <w:rPr>
          <w:lang w:val="en-US"/>
        </w:rPr>
        <w:t>in Sweden (Angelstam &amp; Andersson 2001).</w:t>
      </w:r>
      <w:r w:rsidRPr="00170418">
        <w:rPr>
          <w:lang w:val="en-US"/>
        </w:rPr>
        <w:t xml:space="preserve"> </w:t>
      </w:r>
      <w:r>
        <w:rPr>
          <w:lang w:val="en-US"/>
        </w:rPr>
        <w:t>T</w:t>
      </w:r>
      <w:r w:rsidRPr="00170418">
        <w:rPr>
          <w:lang w:val="en-US"/>
        </w:rPr>
        <w:t>he area needed</w:t>
      </w:r>
      <w:r>
        <w:rPr>
          <w:lang w:val="en-US"/>
        </w:rPr>
        <w:t xml:space="preserve"> – the FRA – </w:t>
      </w:r>
      <w:r w:rsidRPr="00170418">
        <w:rPr>
          <w:lang w:val="en-US"/>
        </w:rPr>
        <w:t>is</w:t>
      </w:r>
      <w:r>
        <w:rPr>
          <w:lang w:val="en-US"/>
        </w:rPr>
        <w:t xml:space="preserve"> </w:t>
      </w:r>
      <w:r w:rsidRPr="00170418">
        <w:rPr>
          <w:lang w:val="en-US"/>
        </w:rPr>
        <w:t xml:space="preserve">estimated based </w:t>
      </w:r>
      <w:r>
        <w:rPr>
          <w:lang w:val="en-US"/>
        </w:rPr>
        <w:t>assumptions</w:t>
      </w:r>
      <w:r w:rsidRPr="00170418">
        <w:rPr>
          <w:lang w:val="en-US"/>
        </w:rPr>
        <w:t xml:space="preserve"> of critical </w:t>
      </w:r>
      <w:r w:rsidR="003E3880">
        <w:rPr>
          <w:lang w:val="en-US"/>
        </w:rPr>
        <w:t xml:space="preserve">habitat </w:t>
      </w:r>
      <w:r w:rsidRPr="00170418">
        <w:rPr>
          <w:lang w:val="en-US"/>
        </w:rPr>
        <w:t>threshold</w:t>
      </w:r>
      <w:r w:rsidR="003E3880">
        <w:rPr>
          <w:lang w:val="en-US"/>
        </w:rPr>
        <w:t xml:space="preserve"> value</w:t>
      </w:r>
      <w:r>
        <w:rPr>
          <w:lang w:val="en-US"/>
        </w:rPr>
        <w:t>s</w:t>
      </w:r>
      <w:r w:rsidRPr="00170418">
        <w:rPr>
          <w:lang w:val="en-US"/>
        </w:rPr>
        <w:t xml:space="preserve"> </w:t>
      </w:r>
      <w:r>
        <w:rPr>
          <w:lang w:val="en-US"/>
        </w:rPr>
        <w:t>for</w:t>
      </w:r>
      <w:r w:rsidRPr="00170418">
        <w:rPr>
          <w:lang w:val="en-US"/>
        </w:rPr>
        <w:t xml:space="preserve"> </w:t>
      </w:r>
      <w:r w:rsidR="003E3880">
        <w:rPr>
          <w:lang w:val="en-US"/>
        </w:rPr>
        <w:t xml:space="preserve">metapopulation persistence and </w:t>
      </w:r>
      <w:r w:rsidRPr="00170418">
        <w:rPr>
          <w:lang w:val="en-US"/>
        </w:rPr>
        <w:t xml:space="preserve">the loss </w:t>
      </w:r>
      <w:r>
        <w:rPr>
          <w:lang w:val="en-US"/>
        </w:rPr>
        <w:t>of specialist species</w:t>
      </w:r>
      <w:r w:rsidR="003E3880">
        <w:rPr>
          <w:lang w:val="en-US"/>
        </w:rPr>
        <w:t xml:space="preserve">. Both theoretic models and empirical data </w:t>
      </w:r>
      <w:r w:rsidR="00FB1928">
        <w:rPr>
          <w:lang w:val="en-US"/>
        </w:rPr>
        <w:t>show that the</w:t>
      </w:r>
      <w:r w:rsidR="003E3880">
        <w:rPr>
          <w:lang w:val="en-US"/>
        </w:rPr>
        <w:t xml:space="preserve"> </w:t>
      </w:r>
      <w:r w:rsidR="00CE5547">
        <w:rPr>
          <w:lang w:val="en-US"/>
        </w:rPr>
        <w:t xml:space="preserve">effects of habitat loss on extinction risks at the landscape </w:t>
      </w:r>
      <w:r w:rsidR="00FB1928">
        <w:rPr>
          <w:lang w:val="en-US"/>
        </w:rPr>
        <w:t>level varies among species, but are realized</w:t>
      </w:r>
      <w:r w:rsidR="00CE5547">
        <w:rPr>
          <w:lang w:val="en-US"/>
        </w:rPr>
        <w:t xml:space="preserve"> </w:t>
      </w:r>
      <w:r w:rsidR="00FB1928">
        <w:rPr>
          <w:lang w:val="en-US"/>
        </w:rPr>
        <w:t>when</w:t>
      </w:r>
      <w:r w:rsidR="00DB05FF">
        <w:rPr>
          <w:lang w:val="en-US"/>
        </w:rPr>
        <w:t xml:space="preserve"> 10-5</w:t>
      </w:r>
      <w:r w:rsidR="00CE5547">
        <w:rPr>
          <w:lang w:val="en-US"/>
        </w:rPr>
        <w:t xml:space="preserve">0% </w:t>
      </w:r>
      <w:r w:rsidR="003E3880">
        <w:rPr>
          <w:lang w:val="en-US"/>
        </w:rPr>
        <w:t>of the</w:t>
      </w:r>
      <w:r w:rsidR="00CE5547">
        <w:rPr>
          <w:lang w:val="en-US"/>
        </w:rPr>
        <w:t xml:space="preserve"> original habitat cover </w:t>
      </w:r>
      <w:r w:rsidR="00FB1928">
        <w:rPr>
          <w:lang w:val="en-US"/>
        </w:rPr>
        <w:t xml:space="preserve">remains </w:t>
      </w:r>
      <w:r w:rsidRPr="002D63BB">
        <w:rPr>
          <w:lang w:val="en-US"/>
        </w:rPr>
        <w:t>(</w:t>
      </w:r>
      <w:r>
        <w:rPr>
          <w:lang w:val="en-US"/>
        </w:rPr>
        <w:t>Andrén 1994</w:t>
      </w:r>
      <w:r>
        <w:rPr>
          <w:rStyle w:val="FootnoteReference"/>
          <w:lang w:val="en-US"/>
        </w:rPr>
        <w:footnoteReference w:id="15"/>
      </w:r>
      <w:r w:rsidRPr="002D63BB">
        <w:rPr>
          <w:lang w:val="en-US"/>
        </w:rPr>
        <w:t xml:space="preserve">; </w:t>
      </w:r>
      <w:r>
        <w:rPr>
          <w:lang w:val="en-US"/>
        </w:rPr>
        <w:t>Angelstam et al. 2004</w:t>
      </w:r>
      <w:r>
        <w:rPr>
          <w:rStyle w:val="FootnoteReference"/>
          <w:lang w:val="en-US"/>
        </w:rPr>
        <w:footnoteReference w:id="16"/>
      </w:r>
      <w:r w:rsidRPr="002D63BB">
        <w:rPr>
          <w:lang w:val="en-US"/>
        </w:rPr>
        <w:t>)</w:t>
      </w:r>
      <w:r>
        <w:rPr>
          <w:lang w:val="en-US"/>
        </w:rPr>
        <w:t>.</w:t>
      </w:r>
      <w:r w:rsidR="00FB1928" w:rsidRPr="00FB1928">
        <w:rPr>
          <w:lang w:val="en-US"/>
        </w:rPr>
        <w:t xml:space="preserve"> </w:t>
      </w:r>
      <w:r w:rsidR="00FB1928">
        <w:rPr>
          <w:lang w:val="en-US"/>
        </w:rPr>
        <w:t xml:space="preserve">A general threshold value of 20% of the original (historical) area cover is therefore used in the </w:t>
      </w:r>
      <w:r w:rsidR="00763697">
        <w:rPr>
          <w:lang w:val="en-US"/>
        </w:rPr>
        <w:t>assessments of the FRAs</w:t>
      </w:r>
      <w:r w:rsidR="00FB1928">
        <w:rPr>
          <w:lang w:val="en-US"/>
        </w:rPr>
        <w:t>.</w:t>
      </w:r>
      <w:r w:rsidR="00667E9A" w:rsidRPr="00667E9A">
        <w:rPr>
          <w:lang w:val="en-US"/>
        </w:rPr>
        <w:t xml:space="preserve"> </w:t>
      </w:r>
      <w:r w:rsidR="00977B41">
        <w:rPr>
          <w:lang w:val="en-US"/>
        </w:rPr>
        <w:t>Note that t</w:t>
      </w:r>
      <w:r w:rsidR="00667E9A">
        <w:rPr>
          <w:lang w:val="en-US"/>
        </w:rPr>
        <w:t xml:space="preserve">he use of such threshold values implies that the </w:t>
      </w:r>
      <w:r w:rsidR="00667E9A" w:rsidRPr="00667E9A">
        <w:rPr>
          <w:lang w:val="en-US"/>
        </w:rPr>
        <w:t>original habitat</w:t>
      </w:r>
      <w:r w:rsidR="00667E9A">
        <w:rPr>
          <w:lang w:val="en-US"/>
        </w:rPr>
        <w:t xml:space="preserve"> type</w:t>
      </w:r>
      <w:r w:rsidR="00667E9A" w:rsidRPr="00667E9A">
        <w:rPr>
          <w:lang w:val="en-US"/>
        </w:rPr>
        <w:t xml:space="preserve"> is </w:t>
      </w:r>
      <w:r w:rsidR="00667E9A">
        <w:rPr>
          <w:lang w:val="en-US"/>
        </w:rPr>
        <w:t xml:space="preserve">assumed </w:t>
      </w:r>
      <w:r w:rsidR="00667E9A" w:rsidRPr="00667E9A">
        <w:rPr>
          <w:lang w:val="en-US"/>
        </w:rPr>
        <w:t xml:space="preserve">completely incompatible with </w:t>
      </w:r>
      <w:r w:rsidR="00667E9A">
        <w:rPr>
          <w:lang w:val="en-US"/>
        </w:rPr>
        <w:t>forests</w:t>
      </w:r>
      <w:r w:rsidR="008255FC">
        <w:rPr>
          <w:lang w:val="en-US"/>
        </w:rPr>
        <w:t xml:space="preserve"> managed by clear-cutting forestry</w:t>
      </w:r>
      <w:r w:rsidR="00667E9A">
        <w:rPr>
          <w:lang w:val="en-US"/>
        </w:rPr>
        <w:t xml:space="preserve">. </w:t>
      </w:r>
      <w:r w:rsidR="008255FC">
        <w:rPr>
          <w:lang w:val="en-US"/>
        </w:rPr>
        <w:t>T</w:t>
      </w:r>
      <w:r w:rsidR="00667E9A">
        <w:rPr>
          <w:lang w:val="en-US"/>
        </w:rPr>
        <w:t>he threshold</w:t>
      </w:r>
      <w:r w:rsidR="008255FC">
        <w:rPr>
          <w:lang w:val="en-US"/>
        </w:rPr>
        <w:t xml:space="preserve"> value</w:t>
      </w:r>
      <w:r w:rsidR="00667E9A">
        <w:rPr>
          <w:lang w:val="en-US"/>
        </w:rPr>
        <w:t xml:space="preserve"> and the FRAs </w:t>
      </w:r>
      <w:r w:rsidR="008255FC">
        <w:rPr>
          <w:lang w:val="en-US"/>
        </w:rPr>
        <w:t>may</w:t>
      </w:r>
      <w:r w:rsidR="00667E9A">
        <w:rPr>
          <w:lang w:val="en-US"/>
        </w:rPr>
        <w:t xml:space="preserve"> thus be </w:t>
      </w:r>
      <w:r w:rsidR="00667E9A" w:rsidRPr="00667E9A">
        <w:rPr>
          <w:lang w:val="en-US"/>
        </w:rPr>
        <w:t>l</w:t>
      </w:r>
      <w:r w:rsidR="00667E9A">
        <w:rPr>
          <w:lang w:val="en-US"/>
        </w:rPr>
        <w:t>ower</w:t>
      </w:r>
      <w:r w:rsidR="00667E9A" w:rsidRPr="00667E9A">
        <w:rPr>
          <w:lang w:val="en-US"/>
        </w:rPr>
        <w:t xml:space="preserve"> if </w:t>
      </w:r>
      <w:r w:rsidR="008255FC">
        <w:rPr>
          <w:lang w:val="en-US"/>
        </w:rPr>
        <w:t>the original habitat type are found</w:t>
      </w:r>
      <w:r w:rsidR="00667E9A" w:rsidRPr="00667E9A">
        <w:rPr>
          <w:lang w:val="en-US"/>
        </w:rPr>
        <w:t xml:space="preserve"> only partly </w:t>
      </w:r>
      <w:r w:rsidR="008255FC">
        <w:rPr>
          <w:lang w:val="en-US"/>
        </w:rPr>
        <w:t xml:space="preserve">management compatible. However, the management compatibility of different subtypes and successional stages of the habitat type is not assessed and taken into account in the </w:t>
      </w:r>
      <w:r w:rsidR="00733A8C">
        <w:rPr>
          <w:lang w:val="en-US"/>
        </w:rPr>
        <w:t>calculations presented</w:t>
      </w:r>
      <w:r w:rsidR="008255FC">
        <w:rPr>
          <w:lang w:val="en-US"/>
        </w:rPr>
        <w:t xml:space="preserve"> below.</w:t>
      </w:r>
    </w:p>
    <w:p w14:paraId="312064E5" w14:textId="77777777" w:rsidR="00170418" w:rsidRDefault="00170418" w:rsidP="00BC1CFA">
      <w:pPr>
        <w:rPr>
          <w:lang w:val="en-US"/>
        </w:rPr>
      </w:pPr>
    </w:p>
    <w:p w14:paraId="42CB7477" w14:textId="77777777" w:rsidR="0018084B" w:rsidRDefault="003D07B7" w:rsidP="005347E2">
      <w:pPr>
        <w:rPr>
          <w:lang w:val="en-US"/>
        </w:rPr>
      </w:pPr>
      <w:r>
        <w:rPr>
          <w:lang w:val="en-US"/>
        </w:rPr>
        <w:t xml:space="preserve">In the </w:t>
      </w:r>
      <w:r w:rsidR="001271F2">
        <w:rPr>
          <w:lang w:val="en-US"/>
        </w:rPr>
        <w:t>alpine region</w:t>
      </w:r>
      <w:r>
        <w:rPr>
          <w:lang w:val="en-US"/>
        </w:rPr>
        <w:t>, t</w:t>
      </w:r>
      <w:r w:rsidR="002D63BB">
        <w:rPr>
          <w:lang w:val="en-US"/>
        </w:rPr>
        <w:t xml:space="preserve">he current area cover </w:t>
      </w:r>
      <w:r w:rsidR="003A127F">
        <w:rPr>
          <w:lang w:val="en-US"/>
        </w:rPr>
        <w:t>of Western Taiga 9010 still comprise a</w:t>
      </w:r>
      <w:r w:rsidR="002D63BB">
        <w:rPr>
          <w:lang w:val="en-US"/>
        </w:rPr>
        <w:t xml:space="preserve"> significant </w:t>
      </w:r>
      <w:r w:rsidR="003A127F">
        <w:rPr>
          <w:lang w:val="en-US"/>
        </w:rPr>
        <w:t xml:space="preserve">proportion </w:t>
      </w:r>
      <w:r w:rsidR="002D63BB">
        <w:rPr>
          <w:lang w:val="en-US"/>
        </w:rPr>
        <w:t xml:space="preserve">(38%) </w:t>
      </w:r>
      <w:r w:rsidR="003A127F">
        <w:rPr>
          <w:lang w:val="en-US"/>
        </w:rPr>
        <w:t>of the forest land area</w:t>
      </w:r>
      <w:r w:rsidR="00977B41">
        <w:rPr>
          <w:lang w:val="en-US"/>
        </w:rPr>
        <w:t xml:space="preserve"> </w:t>
      </w:r>
      <w:r w:rsidR="00977B41" w:rsidRPr="003E6336">
        <w:rPr>
          <w:lang w:val="en-US"/>
        </w:rPr>
        <w:t>(</w:t>
      </w:r>
      <w:r w:rsidR="00977B41" w:rsidRPr="003E6336">
        <w:rPr>
          <w:b/>
          <w:lang w:val="en-US"/>
        </w:rPr>
        <w:t>Table 1</w:t>
      </w:r>
      <w:r w:rsidR="00977B41" w:rsidRPr="003E6336">
        <w:rPr>
          <w:lang w:val="en-US"/>
        </w:rPr>
        <w:t>)</w:t>
      </w:r>
      <w:r w:rsidR="002D63BB" w:rsidRPr="003E6336">
        <w:rPr>
          <w:lang w:val="en-US"/>
        </w:rPr>
        <w:t>.</w:t>
      </w:r>
      <w:r w:rsidR="002D63BB">
        <w:rPr>
          <w:lang w:val="en-US"/>
        </w:rPr>
        <w:t xml:space="preserve"> The FRA is </w:t>
      </w:r>
      <w:r w:rsidR="000E4675">
        <w:rPr>
          <w:lang w:val="en-US"/>
        </w:rPr>
        <w:t xml:space="preserve">therefore </w:t>
      </w:r>
      <w:r w:rsidR="002D63BB">
        <w:rPr>
          <w:lang w:val="en-US"/>
        </w:rPr>
        <w:t xml:space="preserve">set </w:t>
      </w:r>
      <w:r w:rsidR="003A127F">
        <w:rPr>
          <w:lang w:val="en-US"/>
        </w:rPr>
        <w:t xml:space="preserve">equal to the area cover </w:t>
      </w:r>
      <w:r w:rsidR="00763697">
        <w:rPr>
          <w:lang w:val="en-US"/>
        </w:rPr>
        <w:t xml:space="preserve">in 1995, the year </w:t>
      </w:r>
      <w:r w:rsidR="00763697" w:rsidRPr="00764A49">
        <w:rPr>
          <w:lang w:val="en-GB"/>
        </w:rPr>
        <w:t>of entry into force of the Directive</w:t>
      </w:r>
      <w:r w:rsidR="00763697">
        <w:rPr>
          <w:lang w:val="en-GB"/>
        </w:rPr>
        <w:t xml:space="preserve">. It is </w:t>
      </w:r>
      <w:r w:rsidR="003A127F">
        <w:rPr>
          <w:lang w:val="en-US"/>
        </w:rPr>
        <w:t xml:space="preserve">estimated </w:t>
      </w:r>
      <w:r w:rsidR="002D63BB">
        <w:rPr>
          <w:lang w:val="en-US"/>
        </w:rPr>
        <w:t xml:space="preserve">to </w:t>
      </w:r>
      <w:r w:rsidR="00763697">
        <w:rPr>
          <w:lang w:val="en-US"/>
        </w:rPr>
        <w:t xml:space="preserve">be </w:t>
      </w:r>
      <w:r w:rsidR="002D63BB">
        <w:rPr>
          <w:lang w:val="en-US"/>
        </w:rPr>
        <w:t xml:space="preserve">790,000 hectares while </w:t>
      </w:r>
      <w:r w:rsidR="002D63BB" w:rsidRPr="002D63BB">
        <w:rPr>
          <w:lang w:val="en-US"/>
        </w:rPr>
        <w:t>the area has most likely decreased by some 50,000 h</w:t>
      </w:r>
      <w:r w:rsidR="00763697">
        <w:rPr>
          <w:lang w:val="en-US"/>
        </w:rPr>
        <w:t>ectares (ca 7%)</w:t>
      </w:r>
      <w:r w:rsidR="002D63BB" w:rsidRPr="002D63BB">
        <w:rPr>
          <w:lang w:val="en-US"/>
        </w:rPr>
        <w:t xml:space="preserve"> due to </w:t>
      </w:r>
      <w:r>
        <w:rPr>
          <w:lang w:val="en-US"/>
        </w:rPr>
        <w:t>clear cutting</w:t>
      </w:r>
      <w:r w:rsidR="002D63BB" w:rsidRPr="002D63BB">
        <w:rPr>
          <w:lang w:val="en-US"/>
        </w:rPr>
        <w:t xml:space="preserve"> since 1995 </w:t>
      </w:r>
      <w:r w:rsidR="00763697">
        <w:rPr>
          <w:lang w:val="en-US"/>
        </w:rPr>
        <w:t>(details given above)</w:t>
      </w:r>
      <w:r w:rsidR="002D63BB" w:rsidRPr="002D63BB">
        <w:rPr>
          <w:lang w:val="en-US"/>
        </w:rPr>
        <w:t>.</w:t>
      </w:r>
      <w:r w:rsidR="0018084B">
        <w:rPr>
          <w:lang w:val="en-US"/>
        </w:rPr>
        <w:t xml:space="preserve"> </w:t>
      </w:r>
    </w:p>
    <w:p w14:paraId="123FD9D1" w14:textId="77777777" w:rsidR="0018084B" w:rsidRDefault="0018084B" w:rsidP="005347E2">
      <w:pPr>
        <w:rPr>
          <w:lang w:val="en-US"/>
        </w:rPr>
      </w:pPr>
    </w:p>
    <w:p w14:paraId="3693DF93" w14:textId="77777777" w:rsidR="00374DAE" w:rsidRDefault="00A71E37" w:rsidP="005347E2">
      <w:pPr>
        <w:rPr>
          <w:lang w:val="en-US"/>
        </w:rPr>
      </w:pPr>
      <w:r>
        <w:rPr>
          <w:lang w:val="en-US"/>
        </w:rPr>
        <w:t xml:space="preserve">In the boreal region, </w:t>
      </w:r>
      <w:r w:rsidR="00005038">
        <w:rPr>
          <w:lang w:val="en-US"/>
        </w:rPr>
        <w:t>t</w:t>
      </w:r>
      <w:r>
        <w:rPr>
          <w:lang w:val="en-US"/>
        </w:rPr>
        <w:t>he current area cover is insignificant (5%)</w:t>
      </w:r>
      <w:r w:rsidR="00EA1A88">
        <w:rPr>
          <w:lang w:val="en-US"/>
        </w:rPr>
        <w:t>.</w:t>
      </w:r>
      <w:r w:rsidR="00005038">
        <w:rPr>
          <w:lang w:val="en-US"/>
        </w:rPr>
        <w:t xml:space="preserve"> </w:t>
      </w:r>
      <w:r w:rsidR="0094382D">
        <w:rPr>
          <w:lang w:val="en-US"/>
        </w:rPr>
        <w:t xml:space="preserve">The FRA is therefore set equal to a value that corresponds to </w:t>
      </w:r>
      <w:r w:rsidR="00607D74">
        <w:rPr>
          <w:lang w:val="en-US"/>
        </w:rPr>
        <w:t>a</w:t>
      </w:r>
      <w:r w:rsidR="0094382D">
        <w:rPr>
          <w:lang w:val="en-US"/>
        </w:rPr>
        <w:t xml:space="preserve"> general threshold value of 20%</w:t>
      </w:r>
      <w:r w:rsidR="00607D74">
        <w:rPr>
          <w:lang w:val="en-US"/>
        </w:rPr>
        <w:t xml:space="preserve"> of the original (explained above; Andrén 1994</w:t>
      </w:r>
      <w:r w:rsidR="00607D74" w:rsidRPr="00607D74">
        <w:rPr>
          <w:lang w:val="en-US"/>
        </w:rPr>
        <w:t>; Angelstam et al. 2004</w:t>
      </w:r>
      <w:r w:rsidR="00607D74">
        <w:rPr>
          <w:lang w:val="en-US"/>
        </w:rPr>
        <w:t>)</w:t>
      </w:r>
      <w:r w:rsidR="0094382D">
        <w:rPr>
          <w:lang w:val="en-US"/>
        </w:rPr>
        <w:t xml:space="preserve">. A rough estimate of the FRA is obtained while </w:t>
      </w:r>
      <w:r w:rsidR="00607D74">
        <w:rPr>
          <w:lang w:val="en-US"/>
        </w:rPr>
        <w:t xml:space="preserve">assuming that </w:t>
      </w:r>
      <w:r w:rsidR="0094382D">
        <w:rPr>
          <w:lang w:val="en-US"/>
        </w:rPr>
        <w:t>the</w:t>
      </w:r>
      <w:r w:rsidR="00005038">
        <w:rPr>
          <w:lang w:val="en-US"/>
        </w:rPr>
        <w:t xml:space="preserve"> current area cover (1.33 million hectares) </w:t>
      </w:r>
      <w:r w:rsidR="0094382D">
        <w:rPr>
          <w:lang w:val="en-US"/>
        </w:rPr>
        <w:t>is</w:t>
      </w:r>
      <w:r w:rsidR="00005038">
        <w:rPr>
          <w:lang w:val="en-US"/>
        </w:rPr>
        <w:t xml:space="preserve"> an indicator </w:t>
      </w:r>
      <w:r w:rsidR="0094382D">
        <w:rPr>
          <w:lang w:val="en-US"/>
        </w:rPr>
        <w:t xml:space="preserve">of the habitat type </w:t>
      </w:r>
      <w:r w:rsidR="00607D74">
        <w:rPr>
          <w:lang w:val="en-US"/>
        </w:rPr>
        <w:t xml:space="preserve">(including subtypes) </w:t>
      </w:r>
      <w:r w:rsidR="0094382D">
        <w:rPr>
          <w:lang w:val="en-US"/>
        </w:rPr>
        <w:t xml:space="preserve">and </w:t>
      </w:r>
      <w:r w:rsidR="00607D74">
        <w:rPr>
          <w:lang w:val="en-US"/>
        </w:rPr>
        <w:t xml:space="preserve">that </w:t>
      </w:r>
      <w:r w:rsidR="0094382D">
        <w:rPr>
          <w:lang w:val="en-US"/>
        </w:rPr>
        <w:t xml:space="preserve">the </w:t>
      </w:r>
      <w:r w:rsidR="00607D74">
        <w:rPr>
          <w:lang w:val="en-US"/>
        </w:rPr>
        <w:t>area have decreased by</w:t>
      </w:r>
      <w:r w:rsidR="0094382D">
        <w:rPr>
          <w:lang w:val="en-US"/>
        </w:rPr>
        <w:t xml:space="preserve"> 90-95% (on average 92.5%) </w:t>
      </w:r>
      <w:r w:rsidR="00607D74">
        <w:rPr>
          <w:lang w:val="en-US"/>
        </w:rPr>
        <w:t>compared to pre-industrial landscapes</w:t>
      </w:r>
      <w:r w:rsidR="00607D74" w:rsidRPr="00607D74">
        <w:rPr>
          <w:lang w:val="en-US"/>
        </w:rPr>
        <w:t xml:space="preserve"> </w:t>
      </w:r>
      <w:r w:rsidR="00607D74">
        <w:rPr>
          <w:lang w:val="en-US"/>
        </w:rPr>
        <w:t>due to exploitations and forestry,</w:t>
      </w:r>
      <w:r w:rsidR="00607D74" w:rsidRPr="0067513A">
        <w:rPr>
          <w:lang w:val="en-US"/>
        </w:rPr>
        <w:t xml:space="preserve"> but also cessation of disturbance </w:t>
      </w:r>
      <w:r w:rsidR="00607D74" w:rsidRPr="0067513A">
        <w:rPr>
          <w:lang w:val="en-US"/>
        </w:rPr>
        <w:lastRenderedPageBreak/>
        <w:t>dynamics, traditional cultural usage and / or grad</w:t>
      </w:r>
      <w:r w:rsidR="00607D74">
        <w:rPr>
          <w:lang w:val="en-US"/>
        </w:rPr>
        <w:t xml:space="preserve">ual transition to other habitat </w:t>
      </w:r>
      <w:r w:rsidR="00607D74" w:rsidRPr="0067513A">
        <w:rPr>
          <w:lang w:val="en-US"/>
        </w:rPr>
        <w:t>or stand types</w:t>
      </w:r>
      <w:r w:rsidR="00607D74">
        <w:rPr>
          <w:lang w:val="en-US"/>
        </w:rPr>
        <w:t xml:space="preserve"> (Linder &amp; Östlund 1998; Axelsson et al. 2001). The FRA is thereby estimated to be 20%*1.33/(100-92.5%) million hectares, which can be rounded to 3.5 million hectares.</w:t>
      </w:r>
    </w:p>
    <w:p w14:paraId="61F4CA2A" w14:textId="77777777" w:rsidR="007E7002" w:rsidRDefault="007E7002" w:rsidP="005347E2">
      <w:pPr>
        <w:rPr>
          <w:lang w:val="en-US"/>
        </w:rPr>
      </w:pPr>
    </w:p>
    <w:p w14:paraId="06FC9D34" w14:textId="77777777" w:rsidR="007E7002" w:rsidRDefault="007E7002" w:rsidP="005347E2">
      <w:pPr>
        <w:rPr>
          <w:lang w:val="en-GB"/>
        </w:rPr>
      </w:pPr>
      <w:r>
        <w:rPr>
          <w:lang w:val="en-US"/>
        </w:rPr>
        <w:t>In the continental region, the</w:t>
      </w:r>
      <w:r w:rsidRPr="007E7002">
        <w:rPr>
          <w:lang w:val="en-US"/>
        </w:rPr>
        <w:t xml:space="preserve"> current area cove</w:t>
      </w:r>
      <w:r>
        <w:rPr>
          <w:lang w:val="en-US"/>
        </w:rPr>
        <w:t>r is insignificant (1</w:t>
      </w:r>
      <w:r w:rsidRPr="007E7002">
        <w:rPr>
          <w:lang w:val="en-US"/>
        </w:rPr>
        <w:t xml:space="preserve">%). </w:t>
      </w:r>
      <w:r>
        <w:rPr>
          <w:lang w:val="en-US"/>
        </w:rPr>
        <w:t xml:space="preserve">However, only the most southern outposts of the Western Taiga 9010 are expected to </w:t>
      </w:r>
      <w:r w:rsidR="001E3839">
        <w:rPr>
          <w:lang w:val="en-US"/>
        </w:rPr>
        <w:t>expand into</w:t>
      </w:r>
      <w:r>
        <w:rPr>
          <w:lang w:val="en-US"/>
        </w:rPr>
        <w:t xml:space="preserve"> this region. The FRA is therefore set equal to the area cover in 1995, the year </w:t>
      </w:r>
      <w:r w:rsidRPr="00764A49">
        <w:rPr>
          <w:lang w:val="en-GB"/>
        </w:rPr>
        <w:t>of entry into force of the Directive</w:t>
      </w:r>
      <w:r w:rsidR="00CD5EAA">
        <w:rPr>
          <w:lang w:val="en-GB"/>
        </w:rPr>
        <w:t xml:space="preserve">, </w:t>
      </w:r>
      <w:r w:rsidR="001E3839">
        <w:rPr>
          <w:lang w:val="en-US"/>
        </w:rPr>
        <w:t xml:space="preserve">estimated </w:t>
      </w:r>
      <w:r w:rsidR="00CD5EAA">
        <w:rPr>
          <w:lang w:val="en-GB"/>
        </w:rPr>
        <w:t>based on NFI data</w:t>
      </w:r>
      <w:r>
        <w:rPr>
          <w:lang w:val="en-GB"/>
        </w:rPr>
        <w:t>. T</w:t>
      </w:r>
      <w:r w:rsidR="00CD5EAA">
        <w:rPr>
          <w:lang w:val="en-GB"/>
        </w:rPr>
        <w:t>he</w:t>
      </w:r>
      <w:r>
        <w:rPr>
          <w:lang w:val="en-GB"/>
        </w:rPr>
        <w:t xml:space="preserve"> estimated </w:t>
      </w:r>
      <w:r w:rsidR="00CD5EAA">
        <w:rPr>
          <w:lang w:val="en-GB"/>
        </w:rPr>
        <w:t>area cover is small (8,500 hectares) and highly uncertain due to limited data.</w:t>
      </w:r>
    </w:p>
    <w:p w14:paraId="2427959B" w14:textId="77777777" w:rsidR="00316FC7" w:rsidRDefault="00316FC7" w:rsidP="005347E2">
      <w:pPr>
        <w:rPr>
          <w:lang w:val="en-US"/>
        </w:rPr>
      </w:pPr>
    </w:p>
    <w:p w14:paraId="1DA31A40" w14:textId="77777777" w:rsidR="00E06416" w:rsidRDefault="00E06416" w:rsidP="005347E2">
      <w:pPr>
        <w:rPr>
          <w:lang w:val="en-US"/>
        </w:rPr>
      </w:pPr>
    </w:p>
    <w:p w14:paraId="1532D2E8" w14:textId="77777777" w:rsidR="00E06416" w:rsidRDefault="00E06416" w:rsidP="00316FC7">
      <w:pPr>
        <w:spacing w:after="200" w:line="276" w:lineRule="auto"/>
        <w:rPr>
          <w:lang w:val="en-US"/>
        </w:rPr>
      </w:pPr>
      <w:r w:rsidRPr="003E6336">
        <w:rPr>
          <w:b/>
          <w:lang w:val="en-US"/>
        </w:rPr>
        <w:t>Table 1.</w:t>
      </w:r>
      <w:r>
        <w:rPr>
          <w:lang w:val="en-US"/>
        </w:rPr>
        <w:t xml:space="preserve"> Estimated current area cover </w:t>
      </w:r>
      <w:r w:rsidR="006B1739">
        <w:rPr>
          <w:lang w:val="en-US"/>
        </w:rPr>
        <w:t xml:space="preserve">(CV), trend </w:t>
      </w:r>
      <w:r>
        <w:rPr>
          <w:lang w:val="en-US"/>
        </w:rPr>
        <w:t>and favourable reference area</w:t>
      </w:r>
      <w:r w:rsidR="006B1739">
        <w:rPr>
          <w:lang w:val="en-US"/>
        </w:rPr>
        <w:t xml:space="preserve"> (FRA)</w:t>
      </w:r>
      <w:r>
        <w:rPr>
          <w:lang w:val="en-US"/>
        </w:rPr>
        <w:t xml:space="preserve"> of the Western Taiga</w:t>
      </w:r>
      <w:r w:rsidR="006B1739">
        <w:rPr>
          <w:lang w:val="en-US"/>
        </w:rPr>
        <w:t xml:space="preserve"> 9010</w:t>
      </w:r>
      <w:r>
        <w:rPr>
          <w:lang w:val="en-US"/>
        </w:rPr>
        <w:t xml:space="preserve"> in different biogeographical regions of Sweden.</w:t>
      </w:r>
      <w:r w:rsidR="008972B0">
        <w:rPr>
          <w:lang w:val="en-US"/>
        </w:rPr>
        <w:t xml:space="preserve"> Areas are given in hectares (ha) and direction of trends are indicated (“+” increasing;</w:t>
      </w:r>
      <w:r w:rsidR="008972B0" w:rsidRPr="008972B0">
        <w:rPr>
          <w:lang w:val="en-US"/>
        </w:rPr>
        <w:t xml:space="preserve"> </w:t>
      </w:r>
      <w:r w:rsidR="008972B0">
        <w:rPr>
          <w:lang w:val="en-US"/>
        </w:rPr>
        <w:t>“-“ decreasing; “=” stable; “X”: unknown).</w:t>
      </w:r>
      <w:r w:rsidR="004E3B08" w:rsidRPr="004E3B08">
        <w:rPr>
          <w:lang w:val="en-US"/>
        </w:rPr>
        <w:t xml:space="preserve"> The coefficient of variation (cv; %) is given for the estimated total </w:t>
      </w:r>
      <w:r w:rsidR="004E3B08">
        <w:rPr>
          <w:lang w:val="en-US"/>
        </w:rPr>
        <w:t xml:space="preserve">current </w:t>
      </w:r>
      <w:r w:rsidR="004E3B08" w:rsidRPr="004E3B08">
        <w:rPr>
          <w:lang w:val="en-US"/>
        </w:rPr>
        <w:t xml:space="preserve">area </w:t>
      </w:r>
      <w:r w:rsidR="0098224E">
        <w:rPr>
          <w:lang w:val="en-US"/>
        </w:rPr>
        <w:t>cover</w:t>
      </w:r>
      <w:r w:rsidR="004E3B08">
        <w:rPr>
          <w:lang w:val="en-US"/>
        </w:rPr>
        <w:t>.</w:t>
      </w:r>
      <w:r w:rsidR="005F7EBF" w:rsidRPr="005F7EBF">
        <w:rPr>
          <w:lang w:val="en-US"/>
        </w:rPr>
        <w:t xml:space="preserve"> </w:t>
      </w:r>
      <w:r w:rsidR="0069247F">
        <w:rPr>
          <w:lang w:val="en-US"/>
        </w:rPr>
        <w:t>The share (%) indicate the proportion of the total forest land area on mineral soils (</w:t>
      </w:r>
      <w:r w:rsidR="0069247F" w:rsidRPr="005F7EBF">
        <w:rPr>
          <w:lang w:val="en-US"/>
        </w:rPr>
        <w:t>1,68</w:t>
      </w:r>
      <w:r w:rsidR="0069247F">
        <w:rPr>
          <w:lang w:val="en-US"/>
        </w:rPr>
        <w:t xml:space="preserve">8,000, 20,784,000 and 486,000 </w:t>
      </w:r>
      <w:r w:rsidR="0069247F" w:rsidRPr="005F7EBF">
        <w:rPr>
          <w:lang w:val="en-US"/>
        </w:rPr>
        <w:t>h</w:t>
      </w:r>
      <w:r w:rsidR="0069247F">
        <w:rPr>
          <w:lang w:val="en-US"/>
        </w:rPr>
        <w:t>ectares) within the respective regions.</w:t>
      </w:r>
    </w:p>
    <w:p w14:paraId="59D1D6F6" w14:textId="77777777" w:rsidR="0090791D" w:rsidRDefault="0090791D" w:rsidP="005347E2">
      <w:pPr>
        <w:rPr>
          <w:lang w:val="en-US"/>
        </w:rPr>
      </w:pPr>
    </w:p>
    <w:tbl>
      <w:tblPr>
        <w:tblStyle w:val="LightGrid-Accent3"/>
        <w:tblW w:w="4917" w:type="pct"/>
        <w:tblLook w:val="04A0" w:firstRow="1" w:lastRow="0" w:firstColumn="1" w:lastColumn="0" w:noHBand="0" w:noVBand="1"/>
      </w:tblPr>
      <w:tblGrid>
        <w:gridCol w:w="882"/>
        <w:gridCol w:w="1481"/>
        <w:gridCol w:w="931"/>
        <w:gridCol w:w="1146"/>
        <w:gridCol w:w="1228"/>
        <w:gridCol w:w="1039"/>
        <w:gridCol w:w="521"/>
      </w:tblGrid>
      <w:tr w:rsidR="004E3B08" w:rsidRPr="00501042" w14:paraId="12C3035F" w14:textId="77777777" w:rsidTr="004E3B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9" w:type="pct"/>
            <w:noWrap/>
            <w:hideMark/>
          </w:tcPr>
          <w:p w14:paraId="62307C8C" w14:textId="77777777" w:rsidR="004E3B08" w:rsidRPr="00501042" w:rsidRDefault="004E3B08" w:rsidP="00170418">
            <w:pPr>
              <w:jc w:val="center"/>
              <w:rPr>
                <w:rFonts w:asciiTheme="minorHAnsi" w:eastAsia="Times New Roman" w:hAnsiTheme="minorHAnsi" w:cstheme="minorHAnsi"/>
                <w:sz w:val="20"/>
                <w:lang w:val="en-US"/>
              </w:rPr>
            </w:pPr>
            <w:r w:rsidRPr="00501042">
              <w:rPr>
                <w:rFonts w:asciiTheme="minorHAnsi" w:eastAsia="Times New Roman" w:hAnsiTheme="minorHAnsi" w:cstheme="minorHAnsi"/>
                <w:sz w:val="20"/>
                <w:lang w:val="en-US"/>
              </w:rPr>
              <w:t>Code</w:t>
            </w:r>
          </w:p>
        </w:tc>
        <w:tc>
          <w:tcPr>
            <w:tcW w:w="993" w:type="pct"/>
            <w:noWrap/>
            <w:hideMark/>
          </w:tcPr>
          <w:p w14:paraId="7926F740" w14:textId="77777777" w:rsidR="004E3B08" w:rsidRPr="00501042" w:rsidRDefault="004E3B08" w:rsidP="001704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lang w:val="en-US"/>
              </w:rPr>
            </w:pPr>
            <w:r>
              <w:rPr>
                <w:rFonts w:asciiTheme="minorHAnsi" w:eastAsia="Times New Roman" w:hAnsiTheme="minorHAnsi" w:cstheme="minorHAnsi"/>
                <w:sz w:val="20"/>
                <w:lang w:val="en-US"/>
              </w:rPr>
              <w:t>Factor</w:t>
            </w:r>
          </w:p>
        </w:tc>
        <w:tc>
          <w:tcPr>
            <w:tcW w:w="639" w:type="pct"/>
            <w:noWrap/>
            <w:hideMark/>
          </w:tcPr>
          <w:p w14:paraId="66E83DC5" w14:textId="77777777" w:rsidR="004E3B08" w:rsidRPr="00501042" w:rsidRDefault="004E3B08" w:rsidP="001704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lang w:val="en-US"/>
              </w:rPr>
            </w:pPr>
            <w:r w:rsidRPr="00501042">
              <w:rPr>
                <w:rFonts w:asciiTheme="minorHAnsi" w:eastAsia="Times New Roman" w:hAnsiTheme="minorHAnsi" w:cstheme="minorHAnsi"/>
                <w:sz w:val="20"/>
                <w:lang w:val="en-US"/>
              </w:rPr>
              <w:t>Alpine</w:t>
            </w:r>
          </w:p>
        </w:tc>
        <w:tc>
          <w:tcPr>
            <w:tcW w:w="769" w:type="pct"/>
            <w:noWrap/>
            <w:hideMark/>
          </w:tcPr>
          <w:p w14:paraId="7696A194" w14:textId="77777777" w:rsidR="004E3B08" w:rsidRPr="00501042" w:rsidRDefault="004E3B08" w:rsidP="001704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lang w:val="en-US"/>
              </w:rPr>
            </w:pPr>
            <w:r w:rsidRPr="00501042">
              <w:rPr>
                <w:rFonts w:asciiTheme="minorHAnsi" w:eastAsia="Times New Roman" w:hAnsiTheme="minorHAnsi" w:cstheme="minorHAnsi"/>
                <w:sz w:val="20"/>
                <w:lang w:val="en-US"/>
              </w:rPr>
              <w:t>Boreal</w:t>
            </w:r>
          </w:p>
        </w:tc>
        <w:tc>
          <w:tcPr>
            <w:tcW w:w="823" w:type="pct"/>
            <w:noWrap/>
            <w:hideMark/>
          </w:tcPr>
          <w:p w14:paraId="0BC1A401" w14:textId="77777777" w:rsidR="004E3B08" w:rsidRPr="00501042" w:rsidRDefault="004E3B08" w:rsidP="001704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lang w:val="en-US"/>
              </w:rPr>
            </w:pPr>
            <w:r w:rsidRPr="00501042">
              <w:rPr>
                <w:rFonts w:asciiTheme="minorHAnsi" w:eastAsia="Times New Roman" w:hAnsiTheme="minorHAnsi" w:cstheme="minorHAnsi"/>
                <w:sz w:val="20"/>
                <w:lang w:val="en-US"/>
              </w:rPr>
              <w:t>Continental</w:t>
            </w:r>
          </w:p>
        </w:tc>
        <w:tc>
          <w:tcPr>
            <w:tcW w:w="748" w:type="pct"/>
          </w:tcPr>
          <w:p w14:paraId="1EBD69F2" w14:textId="77777777" w:rsidR="004E3B08" w:rsidRPr="0090791D" w:rsidRDefault="004E3B08" w:rsidP="001704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lang w:val="en-US"/>
              </w:rPr>
            </w:pPr>
            <w:r w:rsidRPr="0090791D">
              <w:rPr>
                <w:rFonts w:asciiTheme="minorHAnsi" w:eastAsia="Times New Roman" w:hAnsiTheme="minorHAnsi" w:cstheme="minorHAnsi"/>
                <w:sz w:val="20"/>
                <w:lang w:val="en-US"/>
              </w:rPr>
              <w:t>Total</w:t>
            </w:r>
          </w:p>
        </w:tc>
        <w:tc>
          <w:tcPr>
            <w:tcW w:w="390" w:type="pct"/>
          </w:tcPr>
          <w:p w14:paraId="63962980" w14:textId="77777777" w:rsidR="004E3B08" w:rsidRPr="004E3B08" w:rsidRDefault="004E3B08" w:rsidP="0017041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lang w:val="en-US"/>
              </w:rPr>
            </w:pPr>
            <w:r w:rsidRPr="004E3B08">
              <w:rPr>
                <w:rFonts w:asciiTheme="minorHAnsi" w:eastAsia="Times New Roman" w:hAnsiTheme="minorHAnsi" w:cstheme="minorHAnsi"/>
                <w:sz w:val="20"/>
                <w:lang w:val="en-US"/>
              </w:rPr>
              <w:t>cv</w:t>
            </w:r>
          </w:p>
        </w:tc>
      </w:tr>
      <w:tr w:rsidR="004E3B08" w:rsidRPr="00347505" w14:paraId="2B67F2AB" w14:textId="77777777" w:rsidTr="004E3B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9" w:type="pct"/>
            <w:noWrap/>
          </w:tcPr>
          <w:p w14:paraId="5E650E41" w14:textId="77777777" w:rsidR="004E3B08" w:rsidRPr="00501042" w:rsidRDefault="004E3B08" w:rsidP="00170418">
            <w:pPr>
              <w:jc w:val="center"/>
              <w:rPr>
                <w:rFonts w:eastAsia="Times New Roman" w:cstheme="minorHAnsi"/>
                <w:sz w:val="20"/>
                <w:lang w:val="en-US"/>
              </w:rPr>
            </w:pPr>
            <w:r w:rsidRPr="00501042">
              <w:rPr>
                <w:rFonts w:asciiTheme="minorHAnsi" w:eastAsia="Times New Roman" w:hAnsiTheme="minorHAnsi" w:cstheme="minorHAnsi"/>
                <w:sz w:val="20"/>
                <w:lang w:val="en-US"/>
              </w:rPr>
              <w:t>9010</w:t>
            </w:r>
          </w:p>
        </w:tc>
        <w:tc>
          <w:tcPr>
            <w:tcW w:w="993" w:type="pct"/>
            <w:noWrap/>
          </w:tcPr>
          <w:p w14:paraId="65E0BD09" w14:textId="77777777" w:rsidR="004E3B08"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Pr>
                <w:rFonts w:eastAsia="Times New Roman" w:cstheme="minorHAnsi"/>
                <w:sz w:val="20"/>
                <w:lang w:val="en-US"/>
              </w:rPr>
              <w:t>CV (ha)</w:t>
            </w:r>
          </w:p>
        </w:tc>
        <w:tc>
          <w:tcPr>
            <w:tcW w:w="639" w:type="pct"/>
            <w:noWrap/>
          </w:tcPr>
          <w:p w14:paraId="79C0F1E9" w14:textId="77777777" w:rsidR="004E3B08" w:rsidRPr="00E055E7"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sidRPr="00E055E7">
              <w:rPr>
                <w:rFonts w:eastAsia="Times New Roman" w:cstheme="minorHAnsi"/>
                <w:sz w:val="20"/>
                <w:szCs w:val="20"/>
                <w:lang w:val="en-US"/>
              </w:rPr>
              <w:t>737,000</w:t>
            </w:r>
            <w:r w:rsidRPr="00E055E7">
              <w:rPr>
                <w:rFonts w:eastAsia="Times New Roman" w:cstheme="minorHAnsi"/>
                <w:sz w:val="20"/>
                <w:szCs w:val="20"/>
                <w:vertAlign w:val="superscript"/>
                <w:lang w:val="en-US"/>
              </w:rPr>
              <w:t>*</w:t>
            </w:r>
          </w:p>
        </w:tc>
        <w:tc>
          <w:tcPr>
            <w:tcW w:w="769" w:type="pct"/>
            <w:noWrap/>
          </w:tcPr>
          <w:p w14:paraId="7A0D6A35" w14:textId="77777777" w:rsidR="004E3B08" w:rsidRPr="00347505"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sidRPr="00347505">
              <w:rPr>
                <w:rFonts w:eastAsia="Times New Roman" w:cstheme="minorHAnsi"/>
                <w:sz w:val="20"/>
                <w:szCs w:val="20"/>
                <w:lang w:val="en-US"/>
              </w:rPr>
              <w:t>1,330,000</w:t>
            </w:r>
            <w:r w:rsidRPr="00347505">
              <w:rPr>
                <w:rFonts w:eastAsia="Times New Roman" w:cstheme="minorHAnsi"/>
                <w:sz w:val="20"/>
                <w:szCs w:val="20"/>
                <w:vertAlign w:val="superscript"/>
                <w:lang w:val="en-US"/>
              </w:rPr>
              <w:t>**</w:t>
            </w:r>
          </w:p>
        </w:tc>
        <w:tc>
          <w:tcPr>
            <w:tcW w:w="823" w:type="pct"/>
            <w:noWrap/>
          </w:tcPr>
          <w:p w14:paraId="6FB0691D" w14:textId="77777777" w:rsidR="004E3B08" w:rsidRPr="00347505"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sidRPr="00347505">
              <w:rPr>
                <w:rFonts w:eastAsia="Times New Roman" w:cstheme="minorHAnsi"/>
                <w:sz w:val="20"/>
                <w:szCs w:val="20"/>
                <w:lang w:val="en-US"/>
              </w:rPr>
              <w:t>4,400</w:t>
            </w:r>
            <w:r w:rsidRPr="00347505">
              <w:rPr>
                <w:rFonts w:eastAsia="Times New Roman" w:cstheme="minorHAnsi"/>
                <w:sz w:val="20"/>
                <w:szCs w:val="20"/>
                <w:vertAlign w:val="superscript"/>
                <w:lang w:val="en-US"/>
              </w:rPr>
              <w:t>**</w:t>
            </w:r>
          </w:p>
        </w:tc>
        <w:tc>
          <w:tcPr>
            <w:tcW w:w="748" w:type="pct"/>
          </w:tcPr>
          <w:p w14:paraId="5DBD7319" w14:textId="77777777" w:rsidR="004E3B08" w:rsidRPr="00347505"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rPr>
            </w:pPr>
            <w:r w:rsidRPr="00347505">
              <w:rPr>
                <w:rFonts w:eastAsia="Times New Roman" w:cstheme="minorHAnsi"/>
                <w:sz w:val="20"/>
                <w:szCs w:val="20"/>
                <w:lang w:val="en-US"/>
              </w:rPr>
              <w:t>2 070 000</w:t>
            </w:r>
          </w:p>
        </w:tc>
        <w:tc>
          <w:tcPr>
            <w:tcW w:w="390" w:type="pct"/>
          </w:tcPr>
          <w:p w14:paraId="47F55FC5" w14:textId="77777777" w:rsidR="004E3B08" w:rsidRPr="00347505"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rPr>
            </w:pPr>
            <w:r w:rsidRPr="00347505">
              <w:rPr>
                <w:rFonts w:eastAsia="Times New Roman" w:cstheme="minorHAnsi"/>
                <w:sz w:val="20"/>
                <w:szCs w:val="20"/>
                <w:lang w:val="en-US"/>
              </w:rPr>
              <w:t>4%</w:t>
            </w:r>
          </w:p>
        </w:tc>
      </w:tr>
      <w:tr w:rsidR="00981640" w:rsidRPr="00347505" w14:paraId="564EC058" w14:textId="77777777" w:rsidTr="004E3B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9" w:type="pct"/>
            <w:noWrap/>
          </w:tcPr>
          <w:p w14:paraId="4DD54564" w14:textId="77777777" w:rsidR="00981640" w:rsidRPr="00501042" w:rsidRDefault="00981640" w:rsidP="00170418">
            <w:pPr>
              <w:jc w:val="center"/>
              <w:rPr>
                <w:rFonts w:eastAsia="Times New Roman" w:cstheme="minorHAnsi"/>
                <w:sz w:val="20"/>
                <w:lang w:val="en-US"/>
              </w:rPr>
            </w:pPr>
          </w:p>
        </w:tc>
        <w:tc>
          <w:tcPr>
            <w:tcW w:w="993" w:type="pct"/>
            <w:noWrap/>
          </w:tcPr>
          <w:p w14:paraId="09D3DACF" w14:textId="77777777" w:rsidR="00981640" w:rsidRDefault="0069247F" w:rsidP="0069247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lang w:val="en-US"/>
              </w:rPr>
            </w:pPr>
            <w:r>
              <w:rPr>
                <w:rFonts w:eastAsia="Times New Roman" w:cstheme="minorHAnsi"/>
                <w:sz w:val="20"/>
                <w:lang w:val="en-US"/>
              </w:rPr>
              <w:t>CV s</w:t>
            </w:r>
            <w:r w:rsidR="00981640">
              <w:rPr>
                <w:rFonts w:eastAsia="Times New Roman" w:cstheme="minorHAnsi"/>
                <w:sz w:val="20"/>
                <w:lang w:val="en-US"/>
              </w:rPr>
              <w:t>hare (%)</w:t>
            </w:r>
          </w:p>
        </w:tc>
        <w:tc>
          <w:tcPr>
            <w:tcW w:w="639" w:type="pct"/>
            <w:noWrap/>
          </w:tcPr>
          <w:p w14:paraId="1F7DE3A2" w14:textId="77777777" w:rsidR="00981640" w:rsidRPr="00E055E7" w:rsidRDefault="0069247F"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en-US"/>
              </w:rPr>
            </w:pPr>
            <w:r w:rsidRPr="00E055E7">
              <w:rPr>
                <w:rFonts w:eastAsia="Times New Roman" w:cstheme="minorHAnsi"/>
                <w:sz w:val="20"/>
                <w:szCs w:val="20"/>
                <w:lang w:val="en-US"/>
              </w:rPr>
              <w:t>38%</w:t>
            </w:r>
          </w:p>
        </w:tc>
        <w:tc>
          <w:tcPr>
            <w:tcW w:w="769" w:type="pct"/>
            <w:noWrap/>
          </w:tcPr>
          <w:p w14:paraId="3B928CAD" w14:textId="77777777" w:rsidR="00981640" w:rsidRPr="00347505" w:rsidRDefault="0069247F"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en-US"/>
              </w:rPr>
            </w:pPr>
            <w:r w:rsidRPr="00347505">
              <w:rPr>
                <w:rFonts w:eastAsia="Times New Roman" w:cstheme="minorHAnsi"/>
                <w:sz w:val="20"/>
                <w:szCs w:val="20"/>
                <w:lang w:val="en-US"/>
              </w:rPr>
              <w:t>5%</w:t>
            </w:r>
          </w:p>
        </w:tc>
        <w:tc>
          <w:tcPr>
            <w:tcW w:w="823" w:type="pct"/>
            <w:noWrap/>
          </w:tcPr>
          <w:p w14:paraId="002BA5FD" w14:textId="77777777" w:rsidR="00981640" w:rsidRPr="00347505" w:rsidRDefault="0069247F"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en-US"/>
              </w:rPr>
            </w:pPr>
            <w:r w:rsidRPr="00347505">
              <w:rPr>
                <w:rFonts w:eastAsia="Times New Roman" w:cstheme="minorHAnsi"/>
                <w:sz w:val="20"/>
                <w:szCs w:val="20"/>
                <w:lang w:val="en-US"/>
              </w:rPr>
              <w:t>1%</w:t>
            </w:r>
          </w:p>
        </w:tc>
        <w:tc>
          <w:tcPr>
            <w:tcW w:w="748" w:type="pct"/>
          </w:tcPr>
          <w:p w14:paraId="258B85EC" w14:textId="77777777" w:rsidR="00981640" w:rsidRPr="00347505" w:rsidRDefault="00981640"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en-US"/>
              </w:rPr>
            </w:pPr>
          </w:p>
        </w:tc>
        <w:tc>
          <w:tcPr>
            <w:tcW w:w="390" w:type="pct"/>
          </w:tcPr>
          <w:p w14:paraId="749D6C40" w14:textId="77777777" w:rsidR="00981640" w:rsidRPr="00347505" w:rsidRDefault="00981640"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en-US"/>
              </w:rPr>
            </w:pPr>
          </w:p>
        </w:tc>
      </w:tr>
      <w:tr w:rsidR="004E3B08" w:rsidRPr="00347505" w14:paraId="0973914E" w14:textId="77777777" w:rsidTr="004E3B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9" w:type="pct"/>
            <w:noWrap/>
          </w:tcPr>
          <w:p w14:paraId="2635DBCB" w14:textId="77777777" w:rsidR="004E3B08" w:rsidRPr="00501042" w:rsidRDefault="004E3B08" w:rsidP="00170418">
            <w:pPr>
              <w:jc w:val="center"/>
              <w:rPr>
                <w:rFonts w:eastAsia="Times New Roman" w:cstheme="minorHAnsi"/>
                <w:sz w:val="20"/>
                <w:lang w:val="en-US"/>
              </w:rPr>
            </w:pPr>
          </w:p>
        </w:tc>
        <w:tc>
          <w:tcPr>
            <w:tcW w:w="993" w:type="pct"/>
            <w:noWrap/>
          </w:tcPr>
          <w:p w14:paraId="7B3DBCD4" w14:textId="77777777" w:rsidR="004E3B08"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Pr>
                <w:rFonts w:eastAsia="Times New Roman" w:cstheme="minorHAnsi"/>
                <w:sz w:val="20"/>
                <w:lang w:val="en-US"/>
              </w:rPr>
              <w:t>Trend (+/-/=/X)</w:t>
            </w:r>
          </w:p>
        </w:tc>
        <w:tc>
          <w:tcPr>
            <w:tcW w:w="639" w:type="pct"/>
            <w:noWrap/>
          </w:tcPr>
          <w:p w14:paraId="0A82192A" w14:textId="77777777" w:rsidR="004E3B08" w:rsidRPr="00E055E7"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sidRPr="00E055E7">
              <w:rPr>
                <w:rFonts w:eastAsia="Times New Roman" w:cstheme="minorHAnsi"/>
                <w:sz w:val="20"/>
                <w:lang w:val="en-US"/>
              </w:rPr>
              <w:t>-</w:t>
            </w:r>
          </w:p>
        </w:tc>
        <w:tc>
          <w:tcPr>
            <w:tcW w:w="769" w:type="pct"/>
            <w:noWrap/>
          </w:tcPr>
          <w:p w14:paraId="3C0C1562" w14:textId="77777777" w:rsidR="004E3B08" w:rsidRPr="00347505"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sidRPr="00347505">
              <w:rPr>
                <w:rFonts w:eastAsia="Times New Roman" w:cstheme="minorHAnsi"/>
                <w:sz w:val="20"/>
                <w:lang w:val="en-US"/>
              </w:rPr>
              <w:t>-</w:t>
            </w:r>
          </w:p>
        </w:tc>
        <w:tc>
          <w:tcPr>
            <w:tcW w:w="823" w:type="pct"/>
            <w:noWrap/>
          </w:tcPr>
          <w:p w14:paraId="369D2220" w14:textId="77777777" w:rsidR="004E3B08" w:rsidRPr="00347505"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sidRPr="00347505">
              <w:rPr>
                <w:rFonts w:eastAsia="Times New Roman" w:cstheme="minorHAnsi"/>
                <w:sz w:val="20"/>
                <w:lang w:val="en-US"/>
              </w:rPr>
              <w:t>X</w:t>
            </w:r>
          </w:p>
        </w:tc>
        <w:tc>
          <w:tcPr>
            <w:tcW w:w="748" w:type="pct"/>
          </w:tcPr>
          <w:p w14:paraId="4532F114" w14:textId="77777777" w:rsidR="004E3B08" w:rsidRPr="00347505"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p>
        </w:tc>
        <w:tc>
          <w:tcPr>
            <w:tcW w:w="390" w:type="pct"/>
          </w:tcPr>
          <w:p w14:paraId="4E5762BB" w14:textId="77777777" w:rsidR="004E3B08" w:rsidRPr="00347505" w:rsidRDefault="004E3B08"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p>
        </w:tc>
      </w:tr>
      <w:tr w:rsidR="004E3B08" w:rsidRPr="00347505" w14:paraId="10BF4569" w14:textId="77777777" w:rsidTr="004E3B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9" w:type="pct"/>
            <w:noWrap/>
            <w:hideMark/>
          </w:tcPr>
          <w:p w14:paraId="319A09FF" w14:textId="77777777" w:rsidR="004E3B08" w:rsidRPr="00501042" w:rsidRDefault="004E3B08" w:rsidP="00170418">
            <w:pPr>
              <w:jc w:val="center"/>
              <w:rPr>
                <w:rFonts w:asciiTheme="minorHAnsi" w:eastAsia="Times New Roman" w:hAnsiTheme="minorHAnsi" w:cstheme="minorHAnsi"/>
                <w:sz w:val="20"/>
                <w:lang w:val="en-US"/>
              </w:rPr>
            </w:pPr>
          </w:p>
        </w:tc>
        <w:tc>
          <w:tcPr>
            <w:tcW w:w="993" w:type="pct"/>
            <w:noWrap/>
            <w:hideMark/>
          </w:tcPr>
          <w:p w14:paraId="7D7E3900" w14:textId="77777777" w:rsidR="004E3B08" w:rsidRPr="00501042" w:rsidRDefault="004E3B08"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lang w:val="en-US"/>
              </w:rPr>
            </w:pPr>
            <w:r>
              <w:rPr>
                <w:rFonts w:eastAsia="Times New Roman" w:cstheme="minorHAnsi"/>
                <w:sz w:val="20"/>
                <w:lang w:val="en-US"/>
              </w:rPr>
              <w:t>FRA (ha)</w:t>
            </w:r>
          </w:p>
        </w:tc>
        <w:tc>
          <w:tcPr>
            <w:tcW w:w="639" w:type="pct"/>
            <w:noWrap/>
          </w:tcPr>
          <w:p w14:paraId="6E5DAC22" w14:textId="77777777" w:rsidR="004E3B08" w:rsidRPr="00E055E7" w:rsidRDefault="004E3B08"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lang w:val="en-US"/>
              </w:rPr>
            </w:pPr>
            <w:r w:rsidRPr="00E055E7">
              <w:rPr>
                <w:rFonts w:eastAsia="Times New Roman" w:cstheme="minorHAnsi"/>
                <w:sz w:val="20"/>
                <w:szCs w:val="20"/>
                <w:lang w:val="en-US"/>
              </w:rPr>
              <w:t>790,000</w:t>
            </w:r>
          </w:p>
        </w:tc>
        <w:tc>
          <w:tcPr>
            <w:tcW w:w="769" w:type="pct"/>
            <w:noWrap/>
          </w:tcPr>
          <w:p w14:paraId="1AA18D5D" w14:textId="77777777" w:rsidR="004E3B08" w:rsidRPr="00347505" w:rsidRDefault="004E3B08"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lang w:val="en-US"/>
              </w:rPr>
            </w:pPr>
            <w:r w:rsidRPr="00347505">
              <w:rPr>
                <w:rFonts w:eastAsia="Times New Roman" w:cstheme="minorHAnsi"/>
                <w:sz w:val="20"/>
                <w:szCs w:val="20"/>
                <w:lang w:val="en-US"/>
              </w:rPr>
              <w:t>3,500,000</w:t>
            </w:r>
          </w:p>
        </w:tc>
        <w:tc>
          <w:tcPr>
            <w:tcW w:w="823" w:type="pct"/>
            <w:noWrap/>
          </w:tcPr>
          <w:p w14:paraId="42B8E9C0" w14:textId="77777777" w:rsidR="004E3B08" w:rsidRPr="00347505" w:rsidRDefault="004E3B08"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lang w:val="en-US"/>
              </w:rPr>
            </w:pPr>
            <w:r w:rsidRPr="00347505">
              <w:rPr>
                <w:rFonts w:eastAsia="Times New Roman" w:cstheme="minorHAnsi"/>
                <w:sz w:val="20"/>
                <w:szCs w:val="20"/>
                <w:lang w:val="en-US"/>
              </w:rPr>
              <w:t>8,500</w:t>
            </w:r>
          </w:p>
        </w:tc>
        <w:tc>
          <w:tcPr>
            <w:tcW w:w="748" w:type="pct"/>
          </w:tcPr>
          <w:p w14:paraId="4AEC30BC" w14:textId="77777777" w:rsidR="004E3B08" w:rsidRPr="00347505" w:rsidRDefault="004E3B08"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en-US"/>
              </w:rPr>
            </w:pPr>
          </w:p>
        </w:tc>
        <w:tc>
          <w:tcPr>
            <w:tcW w:w="390" w:type="pct"/>
          </w:tcPr>
          <w:p w14:paraId="621668CC" w14:textId="77777777" w:rsidR="004E3B08" w:rsidRPr="00347505" w:rsidRDefault="004E3B08" w:rsidP="0017041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en-US"/>
              </w:rPr>
            </w:pPr>
          </w:p>
        </w:tc>
      </w:tr>
      <w:tr w:rsidR="0069247F" w:rsidRPr="00347505" w14:paraId="769A1770" w14:textId="77777777" w:rsidTr="004E3B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9" w:type="pct"/>
            <w:noWrap/>
          </w:tcPr>
          <w:p w14:paraId="14D684D2" w14:textId="77777777" w:rsidR="0069247F" w:rsidRPr="00501042" w:rsidRDefault="0069247F" w:rsidP="00170418">
            <w:pPr>
              <w:jc w:val="center"/>
              <w:rPr>
                <w:rFonts w:eastAsia="Times New Roman" w:cstheme="minorHAnsi"/>
                <w:sz w:val="20"/>
                <w:lang w:val="en-US"/>
              </w:rPr>
            </w:pPr>
          </w:p>
        </w:tc>
        <w:tc>
          <w:tcPr>
            <w:tcW w:w="993" w:type="pct"/>
            <w:noWrap/>
          </w:tcPr>
          <w:p w14:paraId="04B21E32" w14:textId="77777777" w:rsidR="0069247F" w:rsidRDefault="0069247F" w:rsidP="0069247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lang w:val="en-US"/>
              </w:rPr>
            </w:pPr>
            <w:r>
              <w:rPr>
                <w:rFonts w:eastAsia="Times New Roman" w:cstheme="minorHAnsi"/>
                <w:sz w:val="20"/>
                <w:lang w:val="en-US"/>
              </w:rPr>
              <w:t>FRA share (%)</w:t>
            </w:r>
          </w:p>
        </w:tc>
        <w:tc>
          <w:tcPr>
            <w:tcW w:w="639" w:type="pct"/>
            <w:noWrap/>
          </w:tcPr>
          <w:p w14:paraId="403D1697" w14:textId="77777777" w:rsidR="0069247F" w:rsidRPr="00E055E7" w:rsidRDefault="0069247F"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rPr>
            </w:pPr>
            <w:r w:rsidRPr="00E055E7">
              <w:rPr>
                <w:rFonts w:eastAsia="Times New Roman" w:cstheme="minorHAnsi"/>
                <w:sz w:val="20"/>
                <w:szCs w:val="20"/>
                <w:lang w:val="en-US"/>
              </w:rPr>
              <w:t>47%</w:t>
            </w:r>
          </w:p>
        </w:tc>
        <w:tc>
          <w:tcPr>
            <w:tcW w:w="769" w:type="pct"/>
            <w:noWrap/>
          </w:tcPr>
          <w:p w14:paraId="02988211" w14:textId="77777777" w:rsidR="0069247F" w:rsidRPr="00347505" w:rsidRDefault="0069247F"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rPr>
            </w:pPr>
            <w:r w:rsidRPr="00347505">
              <w:rPr>
                <w:rFonts w:eastAsia="Times New Roman" w:cstheme="minorHAnsi"/>
                <w:sz w:val="20"/>
                <w:szCs w:val="20"/>
                <w:lang w:val="en-US"/>
              </w:rPr>
              <w:t>17%</w:t>
            </w:r>
          </w:p>
        </w:tc>
        <w:tc>
          <w:tcPr>
            <w:tcW w:w="823" w:type="pct"/>
            <w:noWrap/>
          </w:tcPr>
          <w:p w14:paraId="2FC2662C" w14:textId="77777777" w:rsidR="0069247F" w:rsidRPr="00347505" w:rsidRDefault="0069247F"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rPr>
            </w:pPr>
            <w:r w:rsidRPr="00347505">
              <w:rPr>
                <w:rFonts w:eastAsia="Times New Roman" w:cstheme="minorHAnsi"/>
                <w:sz w:val="20"/>
                <w:szCs w:val="20"/>
                <w:lang w:val="en-US"/>
              </w:rPr>
              <w:t>2%</w:t>
            </w:r>
          </w:p>
        </w:tc>
        <w:tc>
          <w:tcPr>
            <w:tcW w:w="748" w:type="pct"/>
          </w:tcPr>
          <w:p w14:paraId="4FD66EF7" w14:textId="77777777" w:rsidR="0069247F" w:rsidRPr="00347505" w:rsidRDefault="0069247F"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rPr>
            </w:pPr>
          </w:p>
        </w:tc>
        <w:tc>
          <w:tcPr>
            <w:tcW w:w="390" w:type="pct"/>
          </w:tcPr>
          <w:p w14:paraId="706BE76C" w14:textId="77777777" w:rsidR="0069247F" w:rsidRPr="00347505" w:rsidRDefault="0069247F" w:rsidP="0017041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rPr>
            </w:pPr>
          </w:p>
        </w:tc>
      </w:tr>
    </w:tbl>
    <w:p w14:paraId="1082119C" w14:textId="77777777" w:rsidR="0090791D" w:rsidRDefault="0090791D" w:rsidP="005347E2">
      <w:pPr>
        <w:rPr>
          <w:lang w:val="en-US"/>
        </w:rPr>
      </w:pPr>
    </w:p>
    <w:p w14:paraId="68EA5321" w14:textId="77777777" w:rsidR="00F94D44" w:rsidRPr="00F94D44" w:rsidRDefault="00F94D44" w:rsidP="00F94D44">
      <w:pPr>
        <w:rPr>
          <w:lang w:val="en-US"/>
        </w:rPr>
      </w:pPr>
    </w:p>
    <w:sectPr w:rsidR="00F94D44" w:rsidRPr="00F94D44" w:rsidSect="001406CC">
      <w:headerReference w:type="even" r:id="rId14"/>
      <w:headerReference w:type="default" r:id="rId15"/>
      <w:footerReference w:type="default" r:id="rId16"/>
      <w:headerReference w:type="first" r:id="rId17"/>
      <w:footerReference w:type="first" r:id="rId18"/>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4C17" w14:textId="77777777" w:rsidR="009C5C84" w:rsidRDefault="009C5C84" w:rsidP="00B65B3A">
      <w:pPr>
        <w:spacing w:line="240" w:lineRule="auto"/>
      </w:pPr>
      <w:r>
        <w:separator/>
      </w:r>
    </w:p>
    <w:p w14:paraId="1DC3F443" w14:textId="77777777" w:rsidR="009C5C84" w:rsidRDefault="009C5C84"/>
    <w:p w14:paraId="017E6305" w14:textId="77777777" w:rsidR="009C5C84" w:rsidRDefault="009C5C84"/>
  </w:endnote>
  <w:endnote w:type="continuationSeparator" w:id="0">
    <w:p w14:paraId="449C4539" w14:textId="77777777" w:rsidR="009C5C84" w:rsidRDefault="009C5C84" w:rsidP="00B65B3A">
      <w:pPr>
        <w:spacing w:line="240" w:lineRule="auto"/>
      </w:pPr>
      <w:r>
        <w:continuationSeparator/>
      </w:r>
    </w:p>
    <w:p w14:paraId="3A187B64" w14:textId="77777777" w:rsidR="009C5C84" w:rsidRDefault="009C5C84"/>
    <w:p w14:paraId="58428371" w14:textId="77777777" w:rsidR="009C5C84" w:rsidRDefault="009C5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E5B7" w14:textId="77777777" w:rsidR="00170418" w:rsidRPr="009A7227" w:rsidRDefault="00170418" w:rsidP="002E6436">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316FC7">
      <w:rPr>
        <w:noProof/>
        <w:lang w:val="sv-SE"/>
      </w:rPr>
      <w:t>5</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316FC7">
      <w:rPr>
        <w:noProof/>
        <w:lang w:val="sv-SE"/>
      </w:rPr>
      <w:t>5</w:t>
    </w:r>
    <w:r w:rsidRPr="00F67052">
      <w:rPr>
        <w:noProof/>
        <w:lang w:val="sv-SE"/>
      </w:rPr>
      <w:fldChar w:fldCharType="end"/>
    </w:r>
  </w:p>
  <w:p w14:paraId="0FF14665" w14:textId="77777777" w:rsidR="00170418" w:rsidRDefault="00170418" w:rsidP="00C56D4E">
    <w:pPr>
      <w:pStyle w:val="Footer"/>
    </w:pPr>
  </w:p>
  <w:p w14:paraId="36264AE9" w14:textId="77777777" w:rsidR="00170418" w:rsidRDefault="001704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tabell"/>
      <w:tblW w:w="7371" w:type="dxa"/>
      <w:tblLayout w:type="fixed"/>
      <w:tblLook w:val="0620" w:firstRow="1" w:lastRow="0" w:firstColumn="0" w:lastColumn="0" w:noHBand="1" w:noVBand="1"/>
    </w:tblPr>
    <w:tblGrid>
      <w:gridCol w:w="4111"/>
      <w:gridCol w:w="3260"/>
    </w:tblGrid>
    <w:tr w:rsidR="00170418" w:rsidRPr="006E4A6C" w14:paraId="7CC0AC61"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3B4C9449" w14:textId="77777777" w:rsidR="00170418" w:rsidRPr="006E4A6C" w:rsidRDefault="00170418" w:rsidP="006E4A6C">
          <w:pPr>
            <w:pStyle w:val="Footer"/>
            <w:spacing w:before="80"/>
          </w:pPr>
          <w:r>
            <w:t xml:space="preserve">Mailing address: </w:t>
          </w:r>
          <w:sdt>
            <w:sdtPr>
              <w:id w:val="1838264809"/>
              <w:showingPlcHdr/>
              <w:text/>
            </w:sdtPr>
            <w:sdtEndPr/>
            <w:sdtContent>
              <w:r w:rsidRPr="006E4A6C">
                <w:rPr>
                  <w:rStyle w:val="PlaceholderText"/>
                </w:rPr>
                <w:t>M</w:t>
              </w:r>
              <w:r>
                <w:rPr>
                  <w:rStyle w:val="PlaceholderText"/>
                </w:rPr>
                <w:t>ailing</w:t>
              </w:r>
              <w:r w:rsidRPr="006E4A6C">
                <w:rPr>
                  <w:rStyle w:val="PlaceholderText"/>
                </w:rPr>
                <w:t xml:space="preserve"> address</w:t>
              </w:r>
            </w:sdtContent>
          </w:sdt>
        </w:p>
      </w:tc>
      <w:tc>
        <w:tcPr>
          <w:tcW w:w="3260" w:type="dxa"/>
        </w:tcPr>
        <w:p w14:paraId="03E17E8D" w14:textId="77777777" w:rsidR="00170418" w:rsidRPr="006E4A6C" w:rsidRDefault="00170418" w:rsidP="006E4A6C">
          <w:pPr>
            <w:pStyle w:val="Footer"/>
            <w:spacing w:before="80"/>
          </w:pPr>
          <w:r w:rsidRPr="006E4A6C">
            <w:t xml:space="preserve">Phone: </w:t>
          </w:r>
          <w:sdt>
            <w:sdtPr>
              <w:id w:val="-278725564"/>
              <w:text/>
            </w:sdtPr>
            <w:sdtEndPr/>
            <w:sdtContent>
              <w:r>
                <w:t>+46 18 67 10 00 (switchboard)</w:t>
              </w:r>
            </w:sdtContent>
          </w:sdt>
          <w:r w:rsidRPr="006E4A6C">
            <w:t xml:space="preserve"> </w:t>
          </w:r>
        </w:p>
      </w:tc>
    </w:tr>
    <w:tr w:rsidR="00170418" w:rsidRPr="006E4A6C" w14:paraId="2EB4C8B1" w14:textId="77777777" w:rsidTr="0077745B">
      <w:tc>
        <w:tcPr>
          <w:tcW w:w="4111" w:type="dxa"/>
        </w:tcPr>
        <w:p w14:paraId="06A1F82F" w14:textId="77777777" w:rsidR="00170418" w:rsidRPr="002E6436" w:rsidRDefault="00170418" w:rsidP="00600464">
          <w:pPr>
            <w:pStyle w:val="Footer"/>
            <w:rPr>
              <w:lang w:val="en-US"/>
            </w:rPr>
          </w:pPr>
          <w:r>
            <w:rPr>
              <w:lang w:val="en-US"/>
            </w:rPr>
            <w:t>Street</w:t>
          </w:r>
          <w:r w:rsidRPr="002E6436">
            <w:rPr>
              <w:lang w:val="en-US"/>
            </w:rPr>
            <w:t xml:space="preserve"> address: </w:t>
          </w:r>
          <w:sdt>
            <w:sdtPr>
              <w:id w:val="-172412930"/>
              <w:showingPlcHdr/>
              <w:text/>
            </w:sdtPr>
            <w:sdtEndPr/>
            <w:sdtContent>
              <w:r>
                <w:rPr>
                  <w:rStyle w:val="PlaceholderText"/>
                </w:rPr>
                <w:t xml:space="preserve">Street </w:t>
              </w:r>
              <w:r w:rsidRPr="002E6436">
                <w:rPr>
                  <w:rStyle w:val="PlaceholderText"/>
                  <w:lang w:val="en-US"/>
                </w:rPr>
                <w:t>address</w:t>
              </w:r>
            </w:sdtContent>
          </w:sdt>
        </w:p>
      </w:tc>
      <w:tc>
        <w:tcPr>
          <w:tcW w:w="3260" w:type="dxa"/>
        </w:tcPr>
        <w:p w14:paraId="0EBAC8C4" w14:textId="77777777" w:rsidR="00170418" w:rsidRPr="002E6436" w:rsidRDefault="00170418" w:rsidP="00FB5DB2">
          <w:pPr>
            <w:pStyle w:val="Footer"/>
            <w:rPr>
              <w:lang w:val="en-US"/>
            </w:rPr>
          </w:pPr>
          <w:r>
            <w:rPr>
              <w:lang w:val="en-US"/>
            </w:rPr>
            <w:t>Mobile</w:t>
          </w:r>
          <w:r w:rsidRPr="002E6436">
            <w:rPr>
              <w:lang w:val="en-US"/>
            </w:rPr>
            <w:t xml:space="preserve">: </w:t>
          </w:r>
          <w:sdt>
            <w:sdtPr>
              <w:id w:val="-2098548906"/>
              <w:showingPlcHdr/>
              <w:text/>
            </w:sdtPr>
            <w:sdtEndPr/>
            <w:sdtContent>
              <w:r w:rsidRPr="002E6436">
                <w:rPr>
                  <w:color w:val="7F7F7F" w:themeColor="text1" w:themeTint="80"/>
                  <w:lang w:val="en-US"/>
                </w:rPr>
                <w:t>XXX-XXX</w:t>
              </w:r>
            </w:sdtContent>
          </w:sdt>
        </w:p>
      </w:tc>
    </w:tr>
    <w:tr w:rsidR="00170418" w:rsidRPr="002E6436" w14:paraId="4D3A0AC1" w14:textId="77777777" w:rsidTr="0077745B">
      <w:tc>
        <w:tcPr>
          <w:tcW w:w="4111" w:type="dxa"/>
        </w:tcPr>
        <w:p w14:paraId="6883FEB2" w14:textId="77777777" w:rsidR="00170418" w:rsidRPr="006E4A6C" w:rsidRDefault="00170418" w:rsidP="002E6436">
          <w:pPr>
            <w:pStyle w:val="Footer"/>
          </w:pPr>
          <w:r w:rsidRPr="006E4A6C">
            <w:t>VAT no: SE202100281701</w:t>
          </w:r>
        </w:p>
        <w:p w14:paraId="2ACEEF0C" w14:textId="77777777" w:rsidR="00170418" w:rsidRPr="006E4A6C" w:rsidRDefault="00170418" w:rsidP="002E6436">
          <w:pPr>
            <w:pStyle w:val="Footer"/>
          </w:pPr>
          <w:r w:rsidRPr="006E4A6C">
            <w:t>www.slu.se</w:t>
          </w:r>
        </w:p>
      </w:tc>
      <w:tc>
        <w:tcPr>
          <w:tcW w:w="3260" w:type="dxa"/>
        </w:tcPr>
        <w:p w14:paraId="5FB566EA" w14:textId="77777777" w:rsidR="00170418" w:rsidRPr="002E6436" w:rsidRDefault="009D61EB" w:rsidP="00FB5DB2">
          <w:pPr>
            <w:pStyle w:val="Footer"/>
            <w:rPr>
              <w:lang w:val="en-US"/>
            </w:rPr>
          </w:pPr>
          <w:sdt>
            <w:sdtPr>
              <w:id w:val="721565062"/>
              <w:text/>
            </w:sdtPr>
            <w:sdtEndPr/>
            <w:sdtContent>
              <w:r w:rsidR="00170418">
                <w:t>firstname</w:t>
              </w:r>
              <w:r w:rsidR="00170418" w:rsidRPr="002E6436">
                <w:t>.</w:t>
              </w:r>
              <w:r w:rsidR="00170418">
                <w:t>surname@</w:t>
              </w:r>
              <w:r w:rsidR="00170418" w:rsidRPr="002E6436">
                <w:t>slu.se</w:t>
              </w:r>
            </w:sdtContent>
          </w:sdt>
          <w:r w:rsidR="00170418" w:rsidRPr="002E6436">
            <w:rPr>
              <w:lang w:val="en-US"/>
            </w:rPr>
            <w:t xml:space="preserve"> </w:t>
          </w:r>
        </w:p>
      </w:tc>
    </w:tr>
  </w:tbl>
  <w:p w14:paraId="46BB6F98" w14:textId="77777777" w:rsidR="00170418" w:rsidRPr="002E6436" w:rsidRDefault="00170418" w:rsidP="005267B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0171" w14:textId="77777777" w:rsidR="009C5C84" w:rsidRDefault="009C5C84" w:rsidP="00B65B3A">
      <w:pPr>
        <w:spacing w:line="240" w:lineRule="auto"/>
      </w:pPr>
      <w:r>
        <w:separator/>
      </w:r>
    </w:p>
    <w:p w14:paraId="63380778" w14:textId="77777777" w:rsidR="009C5C84" w:rsidRDefault="009C5C84"/>
  </w:footnote>
  <w:footnote w:type="continuationSeparator" w:id="0">
    <w:p w14:paraId="0653BCC0" w14:textId="77777777" w:rsidR="009C5C84" w:rsidRDefault="009C5C84" w:rsidP="00B65B3A">
      <w:pPr>
        <w:spacing w:line="240" w:lineRule="auto"/>
      </w:pPr>
      <w:r>
        <w:continuationSeparator/>
      </w:r>
    </w:p>
    <w:p w14:paraId="557CB2F1" w14:textId="77777777" w:rsidR="009C5C84" w:rsidRDefault="009C5C84"/>
  </w:footnote>
  <w:footnote w:id="1">
    <w:p w14:paraId="6DCECA17" w14:textId="77777777" w:rsidR="00C71CD6" w:rsidRPr="00C71CD6" w:rsidRDefault="00C71CD6" w:rsidP="00C71CD6">
      <w:pPr>
        <w:pStyle w:val="FootnoteText"/>
        <w:rPr>
          <w:lang w:val="en-US"/>
        </w:rPr>
      </w:pPr>
      <w:r>
        <w:rPr>
          <w:rStyle w:val="FootnoteReference"/>
        </w:rPr>
        <w:footnoteRef/>
      </w:r>
      <w:r w:rsidRPr="0081692B">
        <w:t xml:space="preserve"> Hörnberg, G., Ohlson, M. &amp; Zackrisson, O. 1995. </w:t>
      </w:r>
      <w:r w:rsidRPr="00C71CD6">
        <w:rPr>
          <w:lang w:val="en-US"/>
        </w:rPr>
        <w:t>Stand dynamics, regeneration patterns and long-term continuity in boreal old-growth Picea abies swamp forests. Journal of Vegetation Science 6: 291-298</w:t>
      </w:r>
      <w:r>
        <w:rPr>
          <w:lang w:val="en-US"/>
        </w:rPr>
        <w:t xml:space="preserve">; </w:t>
      </w:r>
      <w:r w:rsidRPr="00C71CD6">
        <w:rPr>
          <w:lang w:val="en-US"/>
        </w:rPr>
        <w:t xml:space="preserve">Hörnberg, G., Ohlson, M. </w:t>
      </w:r>
      <w:r>
        <w:rPr>
          <w:lang w:val="en-US"/>
        </w:rPr>
        <w:t>&amp;</w:t>
      </w:r>
      <w:r w:rsidRPr="00C71CD6">
        <w:rPr>
          <w:lang w:val="en-US"/>
        </w:rPr>
        <w:t xml:space="preserve"> Zackrisson, O. 1997. Influence of bryophytes and microrelief condiations on Picea abies seed regeneration patterns in boreal old-growth swamp forests. Canadian Journal of Forest Research 27: 1015-1023.</w:t>
      </w:r>
    </w:p>
  </w:footnote>
  <w:footnote w:id="2">
    <w:p w14:paraId="312BD29C" w14:textId="77777777" w:rsidR="00C71CD6" w:rsidRDefault="00C71CD6" w:rsidP="00C71CD6">
      <w:pPr>
        <w:pStyle w:val="FootnoteText"/>
      </w:pPr>
      <w:r>
        <w:rPr>
          <w:rStyle w:val="FootnoteReference"/>
        </w:rPr>
        <w:footnoteRef/>
      </w:r>
      <w:r w:rsidRPr="00C71CD6">
        <w:rPr>
          <w:lang w:val="en-US"/>
        </w:rPr>
        <w:t xml:space="preserve"> Kuuluvainen, T. and Aakala, T. 2011. Natural forest dynamics in boreal Fennoscandia: a review and classification. </w:t>
      </w:r>
      <w:r>
        <w:t>Silva Fennica 45: 823–841.</w:t>
      </w:r>
    </w:p>
  </w:footnote>
  <w:footnote w:id="3">
    <w:p w14:paraId="793B870E" w14:textId="77777777" w:rsidR="00C71CD6" w:rsidRDefault="00C71CD6">
      <w:pPr>
        <w:pStyle w:val="FootnoteText"/>
      </w:pPr>
      <w:r>
        <w:rPr>
          <w:rStyle w:val="FootnoteReference"/>
        </w:rPr>
        <w:footnoteRef/>
      </w:r>
      <w:r>
        <w:t xml:space="preserve"> </w:t>
      </w:r>
      <w:r w:rsidRPr="00C71CD6">
        <w:t xml:space="preserve">Kuuluvainen, T., Hofgaard, A., Aakala, T. and Jonsson B.G. 2017. </w:t>
      </w:r>
      <w:r w:rsidRPr="00C71CD6">
        <w:rPr>
          <w:lang w:val="en-US"/>
        </w:rPr>
        <w:t xml:space="preserve">North Fennoscandian mountain forests: history, composition, disturbance dynamics and the unpredictable future. </w:t>
      </w:r>
      <w:r w:rsidRPr="00C71CD6">
        <w:t>Forest Ecology and Management 385: 140-149</w:t>
      </w:r>
      <w:r>
        <w:t>.</w:t>
      </w:r>
    </w:p>
  </w:footnote>
  <w:footnote w:id="4">
    <w:p w14:paraId="7BB922DC" w14:textId="77777777" w:rsidR="00170418" w:rsidRDefault="00170418" w:rsidP="00B81157">
      <w:pPr>
        <w:pStyle w:val="FootnoteText"/>
      </w:pPr>
      <w:r>
        <w:rPr>
          <w:rStyle w:val="FootnoteReference"/>
        </w:rPr>
        <w:footnoteRef/>
      </w:r>
      <w:r>
        <w:t xml:space="preserve"> </w:t>
      </w:r>
      <w:r w:rsidRPr="00555D98">
        <w:t>T</w:t>
      </w:r>
      <w:r>
        <w:t>oet m.fl.</w:t>
      </w:r>
      <w:r w:rsidRPr="00555D98">
        <w:t xml:space="preserve"> 2007.</w:t>
      </w:r>
      <w:r>
        <w:t xml:space="preserve"> </w:t>
      </w:r>
      <w:r w:rsidRPr="00555D98">
        <w:t>Arbetsrapport 167.</w:t>
      </w:r>
      <w:r>
        <w:t xml:space="preserve"> </w:t>
      </w:r>
      <w:r w:rsidRPr="00555D98">
        <w:t>Inst. för skoglig resurshushållning,</w:t>
      </w:r>
      <w:r>
        <w:t xml:space="preserve"> SLU</w:t>
      </w:r>
      <w:r w:rsidRPr="00032600">
        <w:t>.</w:t>
      </w:r>
    </w:p>
  </w:footnote>
  <w:footnote w:id="5">
    <w:p w14:paraId="087B5F04" w14:textId="77777777" w:rsidR="00170418" w:rsidRPr="000103E0" w:rsidRDefault="00170418" w:rsidP="00374DAE">
      <w:pPr>
        <w:pStyle w:val="FootnoteText"/>
        <w:rPr>
          <w:lang w:val="en-US"/>
        </w:rPr>
      </w:pPr>
      <w:r>
        <w:rPr>
          <w:rStyle w:val="FootnoteReference"/>
        </w:rPr>
        <w:footnoteRef/>
      </w:r>
      <w:r>
        <w:t xml:space="preserve"> Gardfjell, H. &amp;</w:t>
      </w:r>
      <w:r w:rsidRPr="00374DAE">
        <w:t xml:space="preserve"> Hagner, Å. 201</w:t>
      </w:r>
      <w:r>
        <w:t>6</w:t>
      </w:r>
      <w:r w:rsidRPr="00374DAE">
        <w:t>. Instruktion för Habitatinventering i NILS och MOTH, 201</w:t>
      </w:r>
      <w:r>
        <w:t>6</w:t>
      </w:r>
      <w:r w:rsidRPr="00374DAE">
        <w:t xml:space="preserve">. </w:t>
      </w:r>
      <w:r w:rsidRPr="00374DAE">
        <w:rPr>
          <w:lang w:val="en-US"/>
        </w:rPr>
        <w:t xml:space="preserve">(The field manual of the terrestrial habitat inventory). In Swedish. Department of Forest Resource Management, Swedish University of Agricultural Science, Umeå, Sweden. </w:t>
      </w:r>
      <w:r w:rsidRPr="000103E0">
        <w:rPr>
          <w:lang w:val="en-US"/>
        </w:rPr>
        <w:t>(</w:t>
      </w:r>
      <w:hyperlink r:id="rId1" w:history="1">
        <w:r w:rsidRPr="000103E0">
          <w:rPr>
            <w:rStyle w:val="Hyperlink"/>
            <w:lang w:val="en-US"/>
          </w:rPr>
          <w:t>link</w:t>
        </w:r>
      </w:hyperlink>
      <w:r w:rsidRPr="000103E0">
        <w:rPr>
          <w:lang w:val="en-US"/>
        </w:rPr>
        <w:t>)</w:t>
      </w:r>
    </w:p>
  </w:footnote>
  <w:footnote w:id="6">
    <w:p w14:paraId="7FF8D120" w14:textId="77777777" w:rsidR="00170418" w:rsidRPr="00750FD1" w:rsidRDefault="00170418" w:rsidP="00750FD1">
      <w:pPr>
        <w:pStyle w:val="FootnoteText"/>
        <w:rPr>
          <w:lang w:val="en-US"/>
        </w:rPr>
      </w:pPr>
      <w:r>
        <w:rPr>
          <w:rStyle w:val="FootnoteReference"/>
        </w:rPr>
        <w:footnoteRef/>
      </w:r>
      <w:r w:rsidRPr="00750FD1">
        <w:rPr>
          <w:lang w:val="en-US"/>
        </w:rPr>
        <w:t xml:space="preserve"> Östlund, L. 1993. Exploitation and structural changes in the north Swedish boreal forest 1800-1992. Dissertations in Forest Vegetation Ecology 4. Swedish University of Agricultural Sciences, Umeå.</w:t>
      </w:r>
    </w:p>
  </w:footnote>
  <w:footnote w:id="7">
    <w:p w14:paraId="077BAD11" w14:textId="77777777" w:rsidR="00170418" w:rsidRPr="005232F6" w:rsidRDefault="00170418">
      <w:pPr>
        <w:pStyle w:val="FootnoteText"/>
        <w:rPr>
          <w:lang w:val="en-US"/>
        </w:rPr>
      </w:pPr>
      <w:r>
        <w:rPr>
          <w:rStyle w:val="FootnoteReference"/>
        </w:rPr>
        <w:footnoteRef/>
      </w:r>
      <w:r w:rsidRPr="005232F6">
        <w:t xml:space="preserve"> Östlund, L., Zackrisson, O. &amp; Axelsson, A. L. 1997. </w:t>
      </w:r>
      <w:r w:rsidRPr="00883832">
        <w:rPr>
          <w:lang w:val="en-US"/>
        </w:rPr>
        <w:t xml:space="preserve">The history and transformation of a Scandinavian boreal forest landscape since the 19th century. </w:t>
      </w:r>
      <w:r w:rsidRPr="005232F6">
        <w:rPr>
          <w:lang w:val="en-US"/>
        </w:rPr>
        <w:t>Canadian Journal of Forest Research 27: 1198-1206.</w:t>
      </w:r>
    </w:p>
  </w:footnote>
  <w:footnote w:id="8">
    <w:p w14:paraId="2EAB2325" w14:textId="77777777" w:rsidR="00170418" w:rsidRPr="005232F6" w:rsidRDefault="00170418" w:rsidP="005232F6">
      <w:pPr>
        <w:pStyle w:val="FootnoteText"/>
        <w:rPr>
          <w:lang w:val="en-US"/>
        </w:rPr>
      </w:pPr>
      <w:r>
        <w:rPr>
          <w:rStyle w:val="FootnoteReference"/>
        </w:rPr>
        <w:footnoteRef/>
      </w:r>
      <w:r w:rsidRPr="005232F6">
        <w:rPr>
          <w:lang w:val="en-US"/>
        </w:rPr>
        <w:t xml:space="preserve"> Niklasson, M. &amp; Granström, A. 2000. Numbers and sizes of fires: Long-term spatially explicit fire history in a Swedish boreal landscape. Ecology 81: 1484-1499.</w:t>
      </w:r>
    </w:p>
  </w:footnote>
  <w:footnote w:id="9">
    <w:p w14:paraId="766FFE3B" w14:textId="77777777" w:rsidR="00170418" w:rsidRPr="005232F6" w:rsidRDefault="00170418" w:rsidP="005232F6">
      <w:pPr>
        <w:pStyle w:val="FootnoteText"/>
        <w:rPr>
          <w:lang w:val="en-US"/>
        </w:rPr>
      </w:pPr>
      <w:r>
        <w:rPr>
          <w:rStyle w:val="FootnoteReference"/>
        </w:rPr>
        <w:footnoteRef/>
      </w:r>
      <w:r w:rsidRPr="005232F6">
        <w:rPr>
          <w:lang w:val="en-US"/>
        </w:rPr>
        <w:t xml:space="preserve"> Hellberg, E., Niklasson, M. &amp; Granström, A. 2004. Influence of landscape structure on patterns of forest fires in boreal forest landscapes in Sweden. Canadian Journal of Forest Research 34: 332-338</w:t>
      </w:r>
      <w:r>
        <w:rPr>
          <w:lang w:val="en-US"/>
        </w:rPr>
        <w:t>.</w:t>
      </w:r>
    </w:p>
  </w:footnote>
  <w:footnote w:id="10">
    <w:p w14:paraId="41791BB0" w14:textId="77777777" w:rsidR="00170418" w:rsidRPr="003D49F2" w:rsidRDefault="00170418">
      <w:pPr>
        <w:pStyle w:val="FootnoteText"/>
        <w:rPr>
          <w:lang w:val="en-US"/>
        </w:rPr>
      </w:pPr>
      <w:r w:rsidRPr="003D49F2">
        <w:rPr>
          <w:rStyle w:val="FootnoteReference"/>
        </w:rPr>
        <w:footnoteRef/>
      </w:r>
      <w:r w:rsidRPr="003D49F2">
        <w:rPr>
          <w:lang w:val="en-US"/>
        </w:rPr>
        <w:t xml:space="preserve"> Linder, P. &amp; Östlund, L. 1998. Structural changes in three mid-boreal Swedish forest landscapes, 1885-1996. Biological Conservation 85: 9-19.</w:t>
      </w:r>
    </w:p>
  </w:footnote>
  <w:footnote w:id="11">
    <w:p w14:paraId="5E280B53" w14:textId="77777777" w:rsidR="00170418" w:rsidRPr="003D49F2" w:rsidRDefault="00170418" w:rsidP="000462FD">
      <w:pPr>
        <w:pStyle w:val="FootnoteText"/>
        <w:rPr>
          <w:lang w:val="en-US"/>
        </w:rPr>
      </w:pPr>
      <w:r w:rsidRPr="003D49F2">
        <w:rPr>
          <w:rStyle w:val="FootnoteReference"/>
        </w:rPr>
        <w:footnoteRef/>
      </w:r>
      <w:r w:rsidRPr="003D49F2">
        <w:rPr>
          <w:lang w:val="en-US"/>
        </w:rPr>
        <w:t xml:space="preserve"> Angelstam, P. &amp; Andersson, L. 2001. Estimates of the needs for forest reserves in Sweden. Scandinavian Journal of Forest Research 16:S3: 38-51.</w:t>
      </w:r>
    </w:p>
  </w:footnote>
  <w:footnote w:id="12">
    <w:p w14:paraId="41474791" w14:textId="77777777" w:rsidR="00170418" w:rsidRPr="003D49F2" w:rsidRDefault="00170418">
      <w:pPr>
        <w:pStyle w:val="FootnoteText"/>
        <w:rPr>
          <w:lang w:val="en-US"/>
        </w:rPr>
      </w:pPr>
      <w:r w:rsidRPr="003D49F2">
        <w:rPr>
          <w:rStyle w:val="FootnoteReference"/>
        </w:rPr>
        <w:footnoteRef/>
      </w:r>
      <w:r w:rsidRPr="00D80857">
        <w:rPr>
          <w:lang w:val="en-US"/>
        </w:rPr>
        <w:t xml:space="preserve"> Löhmus, A., Kohv, K., Palo, A. &amp; Viilma, K. 2004. </w:t>
      </w:r>
      <w:r w:rsidRPr="003D49F2">
        <w:rPr>
          <w:lang w:val="en-US"/>
        </w:rPr>
        <w:t>Loss of Old-Growth, and the minimum need for strictly protected forests in Estonia. Ecological Bulletins 51: 401-411.</w:t>
      </w:r>
    </w:p>
  </w:footnote>
  <w:footnote w:id="13">
    <w:p w14:paraId="66916C67" w14:textId="77777777" w:rsidR="00170418" w:rsidRPr="00403EC8" w:rsidRDefault="00170418" w:rsidP="008401BE">
      <w:pPr>
        <w:pStyle w:val="FootnoteText"/>
        <w:rPr>
          <w:lang w:val="en-US"/>
        </w:rPr>
      </w:pPr>
      <w:r w:rsidRPr="003D49F2">
        <w:rPr>
          <w:rStyle w:val="FootnoteReference"/>
        </w:rPr>
        <w:footnoteRef/>
      </w:r>
      <w:r w:rsidRPr="00D80857">
        <w:rPr>
          <w:lang w:val="en-US"/>
        </w:rPr>
        <w:t xml:space="preserve"> Axelsson, A. L. &amp; Östlund, L. 2001. </w:t>
      </w:r>
      <w:r w:rsidRPr="003D49F2">
        <w:rPr>
          <w:lang w:val="en-US"/>
        </w:rPr>
        <w:t>Retrospective gap analysis in a Swedish boreal forest landscape using historical data. Forest Ecology and Management 147: 109-122.</w:t>
      </w:r>
    </w:p>
  </w:footnote>
  <w:footnote w:id="14">
    <w:p w14:paraId="73F88661" w14:textId="77777777" w:rsidR="00170418" w:rsidRPr="00865BF1" w:rsidRDefault="00170418" w:rsidP="0067513A">
      <w:pPr>
        <w:pStyle w:val="FootnoteText"/>
        <w:rPr>
          <w:lang w:val="en-US"/>
        </w:rPr>
      </w:pPr>
      <w:r>
        <w:rPr>
          <w:rStyle w:val="FootnoteReference"/>
        </w:rPr>
        <w:footnoteRef/>
      </w:r>
      <w:r w:rsidRPr="00865BF1">
        <w:rPr>
          <w:lang w:val="en-US"/>
        </w:rPr>
        <w:t xml:space="preserve"> Skogsstyrelsen (The Swedish Forest Agency) 2012. Skogsstatistisk årsbok (Swedish Statistical Yearbook of Forestry) 2012</w:t>
      </w:r>
      <w:r>
        <w:rPr>
          <w:lang w:val="en-US"/>
        </w:rPr>
        <w:t>.</w:t>
      </w:r>
    </w:p>
  </w:footnote>
  <w:footnote w:id="15">
    <w:p w14:paraId="204824B6" w14:textId="77777777" w:rsidR="00170418" w:rsidRPr="00170418" w:rsidRDefault="00170418" w:rsidP="00170418">
      <w:pPr>
        <w:pStyle w:val="FootnoteText"/>
        <w:rPr>
          <w:lang w:val="en-US"/>
        </w:rPr>
      </w:pPr>
      <w:r>
        <w:rPr>
          <w:rStyle w:val="FootnoteReference"/>
        </w:rPr>
        <w:footnoteRef/>
      </w:r>
      <w:r w:rsidRPr="000E4675">
        <w:rPr>
          <w:lang w:val="en-US"/>
        </w:rPr>
        <w:t xml:space="preserve"> Andrén, H. 1994. Effects of habitat fragmentation on birds and mammals in landscapes with different proportions of suitable habitat: a review. </w:t>
      </w:r>
      <w:r w:rsidRPr="00170418">
        <w:rPr>
          <w:lang w:val="en-US"/>
        </w:rPr>
        <w:t>Oikos 71: 355-366.</w:t>
      </w:r>
    </w:p>
  </w:footnote>
  <w:footnote w:id="16">
    <w:p w14:paraId="0AB51C22" w14:textId="77777777" w:rsidR="00170418" w:rsidRPr="0081692B" w:rsidRDefault="00170418" w:rsidP="00170418">
      <w:pPr>
        <w:pStyle w:val="FootnoteText"/>
        <w:rPr>
          <w:lang w:val="en-US"/>
        </w:rPr>
      </w:pPr>
      <w:r>
        <w:rPr>
          <w:rStyle w:val="FootnoteReference"/>
        </w:rPr>
        <w:footnoteRef/>
      </w:r>
      <w:r w:rsidRPr="00170418">
        <w:rPr>
          <w:lang w:val="en-US"/>
        </w:rPr>
        <w:t xml:space="preserve"> Angelstam, P., Dönz-Breuss, M., Roberge, J.-M. 2004. </w:t>
      </w:r>
      <w:r w:rsidRPr="000E4675">
        <w:rPr>
          <w:lang w:val="en-US"/>
        </w:rPr>
        <w:t xml:space="preserve">Targets and tools for the maintenance of forest biodiversity – an introduction. </w:t>
      </w:r>
      <w:r w:rsidRPr="0081692B">
        <w:rPr>
          <w:lang w:val="en-US"/>
        </w:rPr>
        <w:t>Ecological Bulletins 51: 11-24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5727" w14:textId="77777777" w:rsidR="00170418" w:rsidRDefault="00170418" w:rsidP="00B65B3A">
    <w:pPr>
      <w:pStyle w:val="Header"/>
      <w:spacing w:before="240" w:after="276"/>
    </w:pPr>
  </w:p>
  <w:p w14:paraId="021938C8" w14:textId="77777777" w:rsidR="00170418" w:rsidRDefault="00170418" w:rsidP="00B65B3A">
    <w:pPr>
      <w:spacing w:after="276"/>
    </w:pPr>
  </w:p>
  <w:p w14:paraId="1CA3FA52" w14:textId="77777777" w:rsidR="00170418" w:rsidRDefault="00170418"/>
  <w:p w14:paraId="59C6CEF7" w14:textId="77777777" w:rsidR="00170418" w:rsidRDefault="00170418"/>
  <w:p w14:paraId="3AFECCE5" w14:textId="77777777" w:rsidR="00170418" w:rsidRDefault="001704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238E" w14:textId="77777777" w:rsidR="00170418" w:rsidRPr="00316109" w:rsidRDefault="009D61EB" w:rsidP="00C56D4E">
    <w:pPr>
      <w:pStyle w:val="Header-info"/>
      <w:jc w:val="center"/>
      <w:rPr>
        <w:lang w:val="en-US"/>
      </w:rPr>
    </w:pPr>
    <w:sdt>
      <w:sdtPr>
        <w:rPr>
          <w:lang w:val="en-US"/>
        </w:r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0F26D2">
          <w:rPr>
            <w:lang w:val="en-US"/>
          </w:rPr>
          <w:t>Applying the new stepwise approach for setting reference values to forest habitat types in Sweden</w:t>
        </w:r>
      </w:sdtContent>
    </w:sdt>
  </w:p>
  <w:p w14:paraId="2D88B1FD" w14:textId="77777777" w:rsidR="00170418" w:rsidRPr="00316109" w:rsidRDefault="00170418" w:rsidP="00C56D4E">
    <w:pPr>
      <w:pStyle w:val="Header-info"/>
      <w:rPr>
        <w:lang w:val="en-US"/>
      </w:rPr>
    </w:pPr>
  </w:p>
  <w:p w14:paraId="7021019C" w14:textId="77777777" w:rsidR="00170418" w:rsidRPr="00316109" w:rsidRDefault="00170418">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0BCC" w14:textId="77777777" w:rsidR="00170418" w:rsidRDefault="00170418" w:rsidP="00B30794">
    <w:pPr>
      <w:pStyle w:val="Header-info"/>
      <w:spacing w:after="734"/>
    </w:pPr>
    <w:r>
      <w:rPr>
        <w:noProof/>
        <w:lang w:eastAsia="sv-SE"/>
      </w:rPr>
      <w:drawing>
        <wp:anchor distT="0" distB="0" distL="114300" distR="114300" simplePos="0" relativeHeight="251663360" behindDoc="1" locked="0" layoutInCell="1" allowOverlap="1" wp14:anchorId="0F90D80D" wp14:editId="42BD28B0">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6735AC4" w14:textId="77777777" w:rsidR="00170418" w:rsidRPr="00B30794" w:rsidRDefault="00170418"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38601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5E763D6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55EDA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DA82A6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6750AD7"/>
    <w:multiLevelType w:val="hybridMultilevel"/>
    <w:tmpl w:val="F15286AC"/>
    <w:lvl w:ilvl="0" w:tplc="1D58FAB4">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2798151">
    <w:abstractNumId w:val="5"/>
  </w:num>
  <w:num w:numId="2" w16cid:durableId="932392636">
    <w:abstractNumId w:val="6"/>
  </w:num>
  <w:num w:numId="3" w16cid:durableId="72121135">
    <w:abstractNumId w:val="2"/>
  </w:num>
  <w:num w:numId="4" w16cid:durableId="1092239208">
    <w:abstractNumId w:val="0"/>
  </w:num>
  <w:num w:numId="5" w16cid:durableId="815491175">
    <w:abstractNumId w:val="3"/>
  </w:num>
  <w:num w:numId="6" w16cid:durableId="160660441">
    <w:abstractNumId w:val="1"/>
  </w:num>
  <w:num w:numId="7" w16cid:durableId="419908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3F"/>
    <w:rsid w:val="00005038"/>
    <w:rsid w:val="000103E0"/>
    <w:rsid w:val="00016516"/>
    <w:rsid w:val="0002287F"/>
    <w:rsid w:val="00025FF1"/>
    <w:rsid w:val="000278EC"/>
    <w:rsid w:val="000462FD"/>
    <w:rsid w:val="0005043E"/>
    <w:rsid w:val="0006384B"/>
    <w:rsid w:val="00067750"/>
    <w:rsid w:val="0007516D"/>
    <w:rsid w:val="00093AF3"/>
    <w:rsid w:val="000945C5"/>
    <w:rsid w:val="000A0D5F"/>
    <w:rsid w:val="000B0985"/>
    <w:rsid w:val="000C10C1"/>
    <w:rsid w:val="000E32D4"/>
    <w:rsid w:val="000E4675"/>
    <w:rsid w:val="000F1208"/>
    <w:rsid w:val="000F26D2"/>
    <w:rsid w:val="00100BD7"/>
    <w:rsid w:val="001027FD"/>
    <w:rsid w:val="001271F2"/>
    <w:rsid w:val="001406CC"/>
    <w:rsid w:val="00170418"/>
    <w:rsid w:val="00175E76"/>
    <w:rsid w:val="0018084B"/>
    <w:rsid w:val="00181013"/>
    <w:rsid w:val="0018795B"/>
    <w:rsid w:val="001A0A56"/>
    <w:rsid w:val="001A1F63"/>
    <w:rsid w:val="001B3A6E"/>
    <w:rsid w:val="001E1ACB"/>
    <w:rsid w:val="001E350D"/>
    <w:rsid w:val="001E3839"/>
    <w:rsid w:val="001E6B81"/>
    <w:rsid w:val="001F5972"/>
    <w:rsid w:val="00200034"/>
    <w:rsid w:val="002125CB"/>
    <w:rsid w:val="002169D8"/>
    <w:rsid w:val="002274EA"/>
    <w:rsid w:val="0023367B"/>
    <w:rsid w:val="00253728"/>
    <w:rsid w:val="002A4380"/>
    <w:rsid w:val="002B5EE7"/>
    <w:rsid w:val="002C157D"/>
    <w:rsid w:val="002D63BB"/>
    <w:rsid w:val="002E6436"/>
    <w:rsid w:val="00306FF5"/>
    <w:rsid w:val="003145A8"/>
    <w:rsid w:val="00316109"/>
    <w:rsid w:val="00316A97"/>
    <w:rsid w:val="00316FC7"/>
    <w:rsid w:val="00317E23"/>
    <w:rsid w:val="00335957"/>
    <w:rsid w:val="00347505"/>
    <w:rsid w:val="00354521"/>
    <w:rsid w:val="00356AD4"/>
    <w:rsid w:val="00373994"/>
    <w:rsid w:val="00374DAE"/>
    <w:rsid w:val="00383274"/>
    <w:rsid w:val="0038374F"/>
    <w:rsid w:val="00387A2C"/>
    <w:rsid w:val="003A127F"/>
    <w:rsid w:val="003B2F68"/>
    <w:rsid w:val="003C36D2"/>
    <w:rsid w:val="003D07B7"/>
    <w:rsid w:val="003D3C7A"/>
    <w:rsid w:val="003D49F2"/>
    <w:rsid w:val="003D58FC"/>
    <w:rsid w:val="003E3880"/>
    <w:rsid w:val="003E6336"/>
    <w:rsid w:val="003F7937"/>
    <w:rsid w:val="00401335"/>
    <w:rsid w:val="00403EC8"/>
    <w:rsid w:val="00414457"/>
    <w:rsid w:val="004210DE"/>
    <w:rsid w:val="00432FB5"/>
    <w:rsid w:val="004343E5"/>
    <w:rsid w:val="0045434E"/>
    <w:rsid w:val="004758FF"/>
    <w:rsid w:val="00485AAD"/>
    <w:rsid w:val="00485C45"/>
    <w:rsid w:val="004959F0"/>
    <w:rsid w:val="004A5AB8"/>
    <w:rsid w:val="004B751E"/>
    <w:rsid w:val="004C1B99"/>
    <w:rsid w:val="004E3B08"/>
    <w:rsid w:val="004F479F"/>
    <w:rsid w:val="00503F43"/>
    <w:rsid w:val="00505276"/>
    <w:rsid w:val="005232F6"/>
    <w:rsid w:val="005267B8"/>
    <w:rsid w:val="005347E2"/>
    <w:rsid w:val="005611B9"/>
    <w:rsid w:val="005A00E3"/>
    <w:rsid w:val="005A313B"/>
    <w:rsid w:val="005A54C1"/>
    <w:rsid w:val="005B0286"/>
    <w:rsid w:val="005B2D07"/>
    <w:rsid w:val="005B5480"/>
    <w:rsid w:val="005B775E"/>
    <w:rsid w:val="005B7936"/>
    <w:rsid w:val="005F7EBF"/>
    <w:rsid w:val="00600464"/>
    <w:rsid w:val="0060383F"/>
    <w:rsid w:val="00607D74"/>
    <w:rsid w:val="0062764D"/>
    <w:rsid w:val="00633BB8"/>
    <w:rsid w:val="00660C50"/>
    <w:rsid w:val="00662C85"/>
    <w:rsid w:val="00667E9A"/>
    <w:rsid w:val="00670079"/>
    <w:rsid w:val="00672DB9"/>
    <w:rsid w:val="0067513A"/>
    <w:rsid w:val="0069247F"/>
    <w:rsid w:val="00695E24"/>
    <w:rsid w:val="006B1739"/>
    <w:rsid w:val="006B2DC0"/>
    <w:rsid w:val="006C1E86"/>
    <w:rsid w:val="006D503B"/>
    <w:rsid w:val="006E4110"/>
    <w:rsid w:val="006E4A6C"/>
    <w:rsid w:val="006E5EF4"/>
    <w:rsid w:val="006F223F"/>
    <w:rsid w:val="007002D7"/>
    <w:rsid w:val="00733A8C"/>
    <w:rsid w:val="00750FD1"/>
    <w:rsid w:val="00763697"/>
    <w:rsid w:val="0076505A"/>
    <w:rsid w:val="00773743"/>
    <w:rsid w:val="0077745B"/>
    <w:rsid w:val="00796BD6"/>
    <w:rsid w:val="007A4AEC"/>
    <w:rsid w:val="007B14B8"/>
    <w:rsid w:val="007E4D7F"/>
    <w:rsid w:val="007E7002"/>
    <w:rsid w:val="007F6D11"/>
    <w:rsid w:val="00812D9C"/>
    <w:rsid w:val="0081692B"/>
    <w:rsid w:val="008254A2"/>
    <w:rsid w:val="008255FC"/>
    <w:rsid w:val="008401BE"/>
    <w:rsid w:val="00844782"/>
    <w:rsid w:val="00850D89"/>
    <w:rsid w:val="008560A3"/>
    <w:rsid w:val="00864EFB"/>
    <w:rsid w:val="00865BF1"/>
    <w:rsid w:val="00865C07"/>
    <w:rsid w:val="00871AD9"/>
    <w:rsid w:val="00883832"/>
    <w:rsid w:val="008949E0"/>
    <w:rsid w:val="008972B0"/>
    <w:rsid w:val="008E0816"/>
    <w:rsid w:val="008E2971"/>
    <w:rsid w:val="008E6D9E"/>
    <w:rsid w:val="008E710C"/>
    <w:rsid w:val="008F1728"/>
    <w:rsid w:val="008F24D9"/>
    <w:rsid w:val="00900A48"/>
    <w:rsid w:val="0090791D"/>
    <w:rsid w:val="009109E8"/>
    <w:rsid w:val="009215E1"/>
    <w:rsid w:val="0094382D"/>
    <w:rsid w:val="00964E1D"/>
    <w:rsid w:val="00966345"/>
    <w:rsid w:val="00977B41"/>
    <w:rsid w:val="009803CC"/>
    <w:rsid w:val="00981640"/>
    <w:rsid w:val="0098224E"/>
    <w:rsid w:val="00992538"/>
    <w:rsid w:val="009A2814"/>
    <w:rsid w:val="009A4F26"/>
    <w:rsid w:val="009B5F15"/>
    <w:rsid w:val="009C5C84"/>
    <w:rsid w:val="009D61EB"/>
    <w:rsid w:val="009D66B7"/>
    <w:rsid w:val="009E2D2B"/>
    <w:rsid w:val="009F05B1"/>
    <w:rsid w:val="009F1168"/>
    <w:rsid w:val="00A01B3E"/>
    <w:rsid w:val="00A47A74"/>
    <w:rsid w:val="00A55381"/>
    <w:rsid w:val="00A63295"/>
    <w:rsid w:val="00A71E37"/>
    <w:rsid w:val="00A74047"/>
    <w:rsid w:val="00A8595D"/>
    <w:rsid w:val="00AF5948"/>
    <w:rsid w:val="00B05E49"/>
    <w:rsid w:val="00B30794"/>
    <w:rsid w:val="00B54D19"/>
    <w:rsid w:val="00B65B3A"/>
    <w:rsid w:val="00B72A06"/>
    <w:rsid w:val="00B81157"/>
    <w:rsid w:val="00B86721"/>
    <w:rsid w:val="00B9500A"/>
    <w:rsid w:val="00BC1CFA"/>
    <w:rsid w:val="00BC54B0"/>
    <w:rsid w:val="00BD5848"/>
    <w:rsid w:val="00BE4CB6"/>
    <w:rsid w:val="00BE4F0C"/>
    <w:rsid w:val="00C04A40"/>
    <w:rsid w:val="00C0501C"/>
    <w:rsid w:val="00C11948"/>
    <w:rsid w:val="00C22997"/>
    <w:rsid w:val="00C33EF8"/>
    <w:rsid w:val="00C56D4E"/>
    <w:rsid w:val="00C71CD6"/>
    <w:rsid w:val="00C72DAF"/>
    <w:rsid w:val="00C853FC"/>
    <w:rsid w:val="00CA0033"/>
    <w:rsid w:val="00CA49B1"/>
    <w:rsid w:val="00CA5602"/>
    <w:rsid w:val="00CA6E72"/>
    <w:rsid w:val="00CB75A0"/>
    <w:rsid w:val="00CD5EAA"/>
    <w:rsid w:val="00CE2DBC"/>
    <w:rsid w:val="00CE5547"/>
    <w:rsid w:val="00CF037F"/>
    <w:rsid w:val="00D0469E"/>
    <w:rsid w:val="00D227BE"/>
    <w:rsid w:val="00D33879"/>
    <w:rsid w:val="00D42E71"/>
    <w:rsid w:val="00D6362A"/>
    <w:rsid w:val="00D80857"/>
    <w:rsid w:val="00D83999"/>
    <w:rsid w:val="00D96B4B"/>
    <w:rsid w:val="00DA571A"/>
    <w:rsid w:val="00DB05FF"/>
    <w:rsid w:val="00DB125C"/>
    <w:rsid w:val="00DC6636"/>
    <w:rsid w:val="00DE169B"/>
    <w:rsid w:val="00DE2F1C"/>
    <w:rsid w:val="00DF44CA"/>
    <w:rsid w:val="00DF46A7"/>
    <w:rsid w:val="00E01AE2"/>
    <w:rsid w:val="00E055E7"/>
    <w:rsid w:val="00E06416"/>
    <w:rsid w:val="00E11BD3"/>
    <w:rsid w:val="00E12449"/>
    <w:rsid w:val="00E20568"/>
    <w:rsid w:val="00E35D93"/>
    <w:rsid w:val="00E5258F"/>
    <w:rsid w:val="00E61317"/>
    <w:rsid w:val="00E74A63"/>
    <w:rsid w:val="00E855B8"/>
    <w:rsid w:val="00E90F50"/>
    <w:rsid w:val="00EA1A88"/>
    <w:rsid w:val="00EA2389"/>
    <w:rsid w:val="00ED1D5A"/>
    <w:rsid w:val="00ED7351"/>
    <w:rsid w:val="00F240C5"/>
    <w:rsid w:val="00F45BEE"/>
    <w:rsid w:val="00F616DB"/>
    <w:rsid w:val="00F6285C"/>
    <w:rsid w:val="00F67686"/>
    <w:rsid w:val="00F738ED"/>
    <w:rsid w:val="00F94D44"/>
    <w:rsid w:val="00FA1F6C"/>
    <w:rsid w:val="00FB1928"/>
    <w:rsid w:val="00FB58C4"/>
    <w:rsid w:val="00FB5DB2"/>
    <w:rsid w:val="00FF4F7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206E8"/>
  <w15:docId w15:val="{DB85FBB2-A956-4E59-BFB5-D515E280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ED"/>
    <w:pPr>
      <w:spacing w:after="0" w:line="23" w:lineRule="atLeast"/>
    </w:pPr>
  </w:style>
  <w:style w:type="paragraph" w:styleId="Heading1">
    <w:name w:val="heading 1"/>
    <w:basedOn w:val="Normal"/>
    <w:next w:val="Normal"/>
    <w:link w:val="Heading1Char"/>
    <w:uiPriority w:val="9"/>
    <w:qFormat/>
    <w:rsid w:val="00DF46A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5611B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1F5972"/>
    <w:pPr>
      <w:keepNext/>
      <w:keepLines/>
      <w:suppressAutoHyphens/>
      <w:spacing w:before="240" w:after="80"/>
      <w:outlineLvl w:val="2"/>
    </w:pPr>
    <w:rPr>
      <w:rFonts w:eastAsiaTheme="majorEastAsia" w:cstheme="majorBidi"/>
      <w:bCs/>
      <w:i/>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A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5611B9"/>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1F5972"/>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rsid w:val="0007516D"/>
    <w:rPr>
      <w:color w:val="0000FF"/>
      <w:u w:val="single"/>
    </w:rPr>
  </w:style>
  <w:style w:type="paragraph" w:styleId="TOCHeading">
    <w:name w:val="TOC Heading"/>
    <w:basedOn w:val="Heading1"/>
    <w:next w:val="Normal"/>
    <w:uiPriority w:val="39"/>
    <w:qFormat/>
    <w:rsid w:val="00AF5948"/>
    <w:pPr>
      <w:pageBreakBefore/>
      <w:suppressAutoHyphens w:val="0"/>
      <w:outlineLvl w:val="9"/>
    </w:pPr>
    <w:rPr>
      <w:lang w:val="en-US" w:eastAsia="ja-JP"/>
    </w:rPr>
  </w:style>
  <w:style w:type="paragraph" w:styleId="Quote">
    <w:name w:val="Quote"/>
    <w:basedOn w:val="Normal"/>
    <w:link w:val="Quote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QuoteChar">
    <w:name w:val="Quote Char"/>
    <w:basedOn w:val="DefaultParagraphFont"/>
    <w:link w:val="Quote"/>
    <w:uiPriority w:val="2"/>
    <w:rsid w:val="006F223F"/>
    <w:rPr>
      <w:iCs/>
      <w:color w:val="000000" w:themeColor="text1"/>
      <w:shd w:val="clear" w:color="auto" w:fill="F2F2F2" w:themeFill="background1" w:themeFillShade="F2"/>
    </w:rPr>
  </w:style>
  <w:style w:type="paragraph" w:styleId="TOC1">
    <w:name w:val="toc 1"/>
    <w:basedOn w:val="Normal"/>
    <w:next w:val="Normal"/>
    <w:uiPriority w:val="39"/>
    <w:rsid w:val="00316A97"/>
    <w:pPr>
      <w:spacing w:beforeLines="100" w:before="100"/>
    </w:pPr>
  </w:style>
  <w:style w:type="paragraph" w:styleId="TOC2">
    <w:name w:val="toc 2"/>
    <w:basedOn w:val="Normal"/>
    <w:next w:val="Normal"/>
    <w:uiPriority w:val="39"/>
    <w:rsid w:val="00316A97"/>
    <w:pPr>
      <w:ind w:left="276"/>
    </w:pPr>
  </w:style>
  <w:style w:type="paragraph" w:styleId="TOC3">
    <w:name w:val="toc 3"/>
    <w:basedOn w:val="Normal"/>
    <w:next w:val="Normal"/>
    <w:uiPriority w:val="39"/>
    <w:rsid w:val="00316A97"/>
    <w:pPr>
      <w:ind w:left="552"/>
    </w:pPr>
  </w:style>
  <w:style w:type="paragraph" w:styleId="ListNumber2">
    <w:name w:val="List Number 2"/>
    <w:aliases w:val="Numrerad indragen"/>
    <w:basedOn w:val="Normal"/>
    <w:uiPriority w:val="99"/>
    <w:qFormat/>
    <w:rsid w:val="00D0469E"/>
    <w:pPr>
      <w:numPr>
        <w:numId w:val="4"/>
      </w:numPr>
      <w:contextualSpacing/>
    </w:p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CE2DBC"/>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paragraph" w:styleId="ListBullet">
    <w:name w:val="List Bullet"/>
    <w:basedOn w:val="Normal"/>
    <w:uiPriority w:val="99"/>
    <w:qFormat/>
    <w:rsid w:val="00D0469E"/>
    <w:pPr>
      <w:numPr>
        <w:numId w:val="5"/>
      </w:numPr>
      <w:contextualSpacing/>
    </w:p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Sidfotmallarnagr">
    <w:name w:val="Sidfot mallarna grå"/>
    <w:basedOn w:val="DefaultParagraphFont"/>
    <w:uiPriority w:val="1"/>
    <w:rsid w:val="00600464"/>
    <w:rPr>
      <w:color w:val="7F7F7F" w:themeColor="text1" w:themeTint="80"/>
    </w:rPr>
  </w:style>
  <w:style w:type="paragraph" w:styleId="ListBullet2">
    <w:name w:val="List Bullet 2"/>
    <w:aliases w:val="Punktlista indragen"/>
    <w:basedOn w:val="Normal"/>
    <w:uiPriority w:val="99"/>
    <w:qFormat/>
    <w:rsid w:val="00D0469E"/>
    <w:pPr>
      <w:numPr>
        <w:numId w:val="6"/>
      </w:numPr>
      <w:contextualSpacing/>
    </w:pPr>
  </w:style>
  <w:style w:type="character" w:styleId="FollowedHyperlink">
    <w:name w:val="FollowedHyperlink"/>
    <w:basedOn w:val="DefaultParagraphFont"/>
    <w:uiPriority w:val="99"/>
    <w:semiHidden/>
    <w:unhideWhenUsed/>
    <w:rsid w:val="0018795B"/>
    <w:rPr>
      <w:color w:val="000000" w:themeColor="followedHyperlink"/>
      <w:u w:val="single"/>
    </w:rPr>
  </w:style>
  <w:style w:type="paragraph" w:styleId="ListNumber">
    <w:name w:val="List Number"/>
    <w:basedOn w:val="Normal"/>
    <w:uiPriority w:val="99"/>
    <w:qFormat/>
    <w:rsid w:val="00D33879"/>
    <w:pPr>
      <w:numPr>
        <w:numId w:val="3"/>
      </w:numPr>
      <w:contextualSpacing/>
    </w:pPr>
  </w:style>
  <w:style w:type="table" w:styleId="LightGrid-Accent3">
    <w:name w:val="Light Grid Accent 3"/>
    <w:basedOn w:val="TableNormal"/>
    <w:uiPriority w:val="62"/>
    <w:rsid w:val="0090791D"/>
    <w:pPr>
      <w:spacing w:after="0" w:line="240" w:lineRule="auto"/>
    </w:pPr>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insideH w:val="single" w:sz="8" w:space="0" w:color="9961C3" w:themeColor="accent3"/>
        <w:insideV w:val="single" w:sz="8" w:space="0" w:color="9961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61C3" w:themeColor="accent3"/>
          <w:left w:val="single" w:sz="8" w:space="0" w:color="9961C3" w:themeColor="accent3"/>
          <w:bottom w:val="single" w:sz="18" w:space="0" w:color="9961C3" w:themeColor="accent3"/>
          <w:right w:val="single" w:sz="8" w:space="0" w:color="9961C3" w:themeColor="accent3"/>
          <w:insideH w:val="nil"/>
          <w:insideV w:val="single" w:sz="8" w:space="0" w:color="9961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single" w:sz="8" w:space="0" w:color="9961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shd w:val="clear" w:color="auto" w:fill="E5D7F0" w:themeFill="accent3" w:themeFillTint="3F"/>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insideV w:val="single" w:sz="8" w:space="0" w:color="9961C3" w:themeColor="accent3"/>
        </w:tcBorders>
        <w:shd w:val="clear" w:color="auto" w:fill="E5D7F0" w:themeFill="accent3" w:themeFillTint="3F"/>
      </w:tcPr>
    </w:tblStylePr>
    <w:tblStylePr w:type="band2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insideV w:val="single" w:sz="8" w:space="0" w:color="9961C3" w:themeColor="accent3"/>
        </w:tcBorders>
      </w:tcPr>
    </w:tblStylePr>
  </w:style>
  <w:style w:type="character" w:customStyle="1" w:styleId="FootnoteTextChar1">
    <w:name w:val="Footnote Text Char1"/>
    <w:basedOn w:val="DefaultParagraphFont"/>
    <w:uiPriority w:val="99"/>
    <w:semiHidden/>
    <w:rsid w:val="00F45BEE"/>
    <w:rPr>
      <w:sz w:val="20"/>
      <w:szCs w:val="20"/>
    </w:rPr>
  </w:style>
  <w:style w:type="paragraph" w:styleId="ListParagraph">
    <w:name w:val="List Paragraph"/>
    <w:basedOn w:val="Normal"/>
    <w:uiPriority w:val="34"/>
    <w:unhideWhenUsed/>
    <w:rsid w:val="00BE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ogsdataportalen.skogsstyrelsen.se/Skogsdataportal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bd.eionet.europa.eu/activities/Reporting/Article_17/Reports_20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lu.se/globalassets/ew/org/centrb/nils/publikationer/2016/mothnils_habitatkompendium20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a.ArtDatabanken.2014\c.&#214;vr%20nv%20uppdrag\2017\ETC%20exampes%20RV\eng_general_slu_2016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67C5A90964C79BFB20283D254A039"/>
        <w:category>
          <w:name w:val="General"/>
          <w:gallery w:val="placeholder"/>
        </w:category>
        <w:types>
          <w:type w:val="bbPlcHdr"/>
        </w:types>
        <w:behaviors>
          <w:behavior w:val="content"/>
        </w:behaviors>
        <w:guid w:val="{CC564590-9BB2-410C-8F30-0270FCFD5850}"/>
      </w:docPartPr>
      <w:docPartBody>
        <w:p w:rsidR="00345382" w:rsidRDefault="00345382">
          <w:pPr>
            <w:pStyle w:val="18967C5A90964C79BFB20283D254A039"/>
          </w:pPr>
          <w:r w:rsidRPr="006B2DC0">
            <w:rPr>
              <w:rStyle w:val="PlaceholderText"/>
              <w:rFonts w:cstheme="majorHAnsi"/>
              <w:b/>
              <w:sz w:val="18"/>
              <w:szCs w:val="18"/>
            </w:rPr>
            <w:t>[</w:t>
          </w:r>
          <w:r w:rsidRPr="008F1728">
            <w:rPr>
              <w:rStyle w:val="PlaceholderText"/>
              <w:rFonts w:asciiTheme="majorHAnsi" w:hAnsiTheme="majorHAnsi" w:cstheme="majorHAnsi"/>
              <w:b/>
              <w:sz w:val="18"/>
              <w:szCs w:val="18"/>
            </w:rPr>
            <w:t>Faculty/Department/Centre</w:t>
          </w:r>
          <w:r w:rsidRPr="000A1EA6">
            <w:rPr>
              <w:rStyle w:val="PlaceholderText"/>
              <w:rFonts w:cstheme="majorHAnsi"/>
              <w:b/>
              <w:sz w:val="18"/>
              <w:szCs w:val="18"/>
            </w:rPr>
            <w:t>]</w:t>
          </w:r>
        </w:p>
      </w:docPartBody>
    </w:docPart>
    <w:docPart>
      <w:docPartPr>
        <w:name w:val="5DBF5BDA05D141B98EAF9EDC01D4567E"/>
        <w:category>
          <w:name w:val="General"/>
          <w:gallery w:val="placeholder"/>
        </w:category>
        <w:types>
          <w:type w:val="bbPlcHdr"/>
        </w:types>
        <w:behaviors>
          <w:behavior w:val="content"/>
        </w:behaviors>
        <w:guid w:val="{A4FFB361-A81C-47B3-AED8-B7FB6DC83528}"/>
      </w:docPartPr>
      <w:docPartBody>
        <w:p w:rsidR="00345382" w:rsidRDefault="00345382">
          <w:pPr>
            <w:pStyle w:val="5DBF5BDA05D141B98EAF9EDC01D4567E"/>
          </w:pPr>
          <w:r w:rsidRPr="002E6436">
            <w:rPr>
              <w:rStyle w:val="PlaceholderText"/>
              <w:rFonts w:cstheme="majorHAnsi"/>
              <w:sz w:val="18"/>
              <w:szCs w:val="18"/>
            </w:rPr>
            <w:t>[</w:t>
          </w:r>
          <w:r w:rsidRPr="008F1728">
            <w:rPr>
              <w:rStyle w:val="PlaceholderText"/>
              <w:rFonts w:asciiTheme="majorHAnsi" w:hAnsiTheme="majorHAnsi" w:cstheme="majorHAnsi"/>
              <w:sz w:val="18"/>
              <w:szCs w:val="18"/>
            </w:rPr>
            <w:t>Any  additional text, e.g, the name of the author</w:t>
          </w:r>
          <w:r>
            <w:rPr>
              <w:rStyle w:val="PlaceholderText"/>
              <w:rFonts w:cstheme="majorHAnsi"/>
              <w:sz w:val="18"/>
              <w:szCs w:val="18"/>
            </w:rPr>
            <w:t>]</w:t>
          </w:r>
        </w:p>
      </w:docPartBody>
    </w:docPart>
    <w:docPart>
      <w:docPartPr>
        <w:name w:val="6F1874E3F1D44E96A750CA9142449795"/>
        <w:category>
          <w:name w:val="General"/>
          <w:gallery w:val="placeholder"/>
        </w:category>
        <w:types>
          <w:type w:val="bbPlcHdr"/>
        </w:types>
        <w:behaviors>
          <w:behavior w:val="content"/>
        </w:behaviors>
        <w:guid w:val="{989249A7-CDBA-42AB-9CA6-92936C43481A}"/>
      </w:docPartPr>
      <w:docPartBody>
        <w:p w:rsidR="00345382" w:rsidRDefault="00345382">
          <w:pPr>
            <w:pStyle w:val="6F1874E3F1D44E96A750CA9142449795"/>
          </w:pPr>
          <w:r w:rsidRPr="0052775A">
            <w:rPr>
              <w:rStyle w:val="PlaceholderText"/>
              <w:rFonts w:cstheme="majorHAnsi"/>
              <w:sz w:val="18"/>
              <w:szCs w:val="18"/>
            </w:rPr>
            <w:t>[20ÅÅ-MM-DD]</w:t>
          </w:r>
        </w:p>
      </w:docPartBody>
    </w:docPart>
    <w:docPart>
      <w:docPartPr>
        <w:name w:val="7082172AB4BA483A8BDD6B6A8B6896E0"/>
        <w:category>
          <w:name w:val="General"/>
          <w:gallery w:val="placeholder"/>
        </w:category>
        <w:types>
          <w:type w:val="bbPlcHdr"/>
        </w:types>
        <w:behaviors>
          <w:behavior w:val="content"/>
        </w:behaviors>
        <w:guid w:val="{71D60D64-A8C8-41CD-B97C-EA40D2BAC762}"/>
      </w:docPartPr>
      <w:docPartBody>
        <w:p w:rsidR="00345382" w:rsidRDefault="00345382">
          <w:pPr>
            <w:pStyle w:val="7082172AB4BA483A8BDD6B6A8B6896E0"/>
          </w:pPr>
          <w:r>
            <w:rPr>
              <w:rStyle w:val="PlaceholderText"/>
            </w:rPr>
            <w:t>[D</w:t>
          </w:r>
          <w:r w:rsidRPr="00CB75A0">
            <w:rPr>
              <w:rStyle w:val="PlaceholderText"/>
            </w:rPr>
            <w:t xml:space="preserve">ocument </w:t>
          </w:r>
          <w:r>
            <w:rPr>
              <w:rStyle w:val="PlaceholderText"/>
            </w:rPr>
            <w:t>title]</w:t>
          </w:r>
          <w:r w:rsidRPr="00CB75A0">
            <w:rPr>
              <w:rStyle w:val="PlaceholderText"/>
            </w:rPr>
            <w:t xml:space="preserve"> </w:t>
          </w:r>
          <w:r w:rsidRPr="00CB75A0">
            <w:rPr>
              <w:rStyle w:val="PlaceholderText"/>
            </w:rPr>
            <w:br/>
          </w:r>
          <w:r w:rsidRPr="00CB75A0">
            <w:rPr>
              <w:rStyle w:val="PlaceholderText"/>
              <w:sz w:val="16"/>
              <w:szCs w:val="16"/>
            </w:rPr>
            <w:t>(</w:t>
          </w:r>
          <w:r w:rsidRPr="00CB75A0">
            <w:rPr>
              <w:rStyle w:val="PlaceholderText"/>
              <w:i/>
              <w:sz w:val="16"/>
              <w:szCs w:val="16"/>
            </w:rPr>
            <w:t xml:space="preserve">NB. </w:t>
          </w:r>
          <w:r>
            <w:rPr>
              <w:rStyle w:val="PlaceholderText"/>
              <w:i/>
              <w:sz w:val="16"/>
              <w:szCs w:val="16"/>
            </w:rPr>
            <w:t>If there is no document title, add a space instead.</w:t>
          </w:r>
          <w:r w:rsidRPr="002E6436">
            <w:rPr>
              <w:rStyle w:val="Placeholde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82"/>
    <w:rsid w:val="00345382"/>
    <w:rsid w:val="00674524"/>
    <w:rsid w:val="00CB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967C5A90964C79BFB20283D254A039">
    <w:name w:val="18967C5A90964C79BFB20283D254A039"/>
  </w:style>
  <w:style w:type="paragraph" w:customStyle="1" w:styleId="5DBF5BDA05D141B98EAF9EDC01D4567E">
    <w:name w:val="5DBF5BDA05D141B98EAF9EDC01D4567E"/>
  </w:style>
  <w:style w:type="paragraph" w:customStyle="1" w:styleId="6F1874E3F1D44E96A750CA9142449795">
    <w:name w:val="6F1874E3F1D44E96A750CA9142449795"/>
  </w:style>
  <w:style w:type="paragraph" w:customStyle="1" w:styleId="7082172AB4BA483A8BDD6B6A8B6896E0">
    <w:name w:val="7082172AB4BA483A8BDD6B6A8B689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A47B5-9866-416E-B453-8B5537CDE2E0}">
  <ds:schemaRefs>
    <ds:schemaRef ds:uri="http://schemas.openxmlformats.org/officeDocument/2006/bibliography"/>
  </ds:schemaRefs>
</ds:datastoreItem>
</file>

<file path=customXml/itemProps2.xml><?xml version="1.0" encoding="utf-8"?>
<ds:datastoreItem xmlns:ds="http://schemas.openxmlformats.org/officeDocument/2006/customXml" ds:itemID="{A95959D8-C67E-45E5-8697-ECD93E3DC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5ADC1-78A3-4AC1-8C89-62BB421D995F}">
  <ds:schemaRefs>
    <ds:schemaRef ds:uri="http://schemas.microsoft.com/office/2006/customDocumentInformationPanel"/>
  </ds:schemaRefs>
</ds:datastoreItem>
</file>

<file path=customXml/itemProps4.xml><?xml version="1.0" encoding="utf-8"?>
<ds:datastoreItem xmlns:ds="http://schemas.openxmlformats.org/officeDocument/2006/customXml" ds:itemID="{853BC3E4-8ADE-49AF-9FCB-F1FE165F2831}">
  <ds:schemaRefs>
    <ds:schemaRef ds:uri="http://schemas.microsoft.com/sharepoint/v3/contenttype/forms"/>
  </ds:schemaRefs>
</ds:datastoreItem>
</file>

<file path=customXml/itemProps5.xml><?xml version="1.0" encoding="utf-8"?>
<ds:datastoreItem xmlns:ds="http://schemas.openxmlformats.org/officeDocument/2006/customXml" ds:itemID="{51D91861-CE25-4E74-9290-7E109489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eng_general_slu_201607</Template>
  <TotalTime>1</TotalTime>
  <Pages>5</Pages>
  <Words>1771</Words>
  <Characters>10096</Characters>
  <Application>Microsoft Office Word</Application>
  <DocSecurity>0</DocSecurity>
  <Lines>84</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Applying the new stepwise approach for setting reference values to forest habitat types in Sweden</vt:lpstr>
      <vt:lpstr/>
    </vt:vector>
  </TitlesOfParts>
  <Company>Swedish University of Agricultural Sciences</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new stepwise approach for setting reference values to forest habitat types in Sweden</dc:title>
  <dc:creator>Håkan Berglund</dc:creator>
  <cp:lastModifiedBy>Eleni Tryfon</cp:lastModifiedBy>
  <cp:revision>2</cp:revision>
  <cp:lastPrinted>2017-10-11T15:23:00Z</cp:lastPrinted>
  <dcterms:created xsi:type="dcterms:W3CDTF">2023-01-06T09:00:00Z</dcterms:created>
  <dcterms:modified xsi:type="dcterms:W3CDTF">2023-01-06T09:00:00Z</dcterms:modified>
  <cp:category>SLU Swedish Species Information Centre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