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EC2E" w14:textId="77777777" w:rsidR="00C910AD" w:rsidRDefault="00C910AD" w:rsidP="00C910AD">
      <w:pPr>
        <w:pStyle w:val="Heading1"/>
        <w:rPr>
          <w:lang w:val="en-US"/>
        </w:rPr>
      </w:pPr>
      <w:r>
        <w:rPr>
          <w:lang w:val="en-US"/>
        </w:rPr>
        <w:t xml:space="preserve">Critical thresholds as a basis for </w:t>
      </w:r>
      <w:proofErr w:type="spellStart"/>
      <w:r>
        <w:rPr>
          <w:lang w:val="en-US"/>
        </w:rPr>
        <w:t>favourable</w:t>
      </w:r>
      <w:proofErr w:type="spellEnd"/>
      <w:r>
        <w:rPr>
          <w:lang w:val="en-US"/>
        </w:rPr>
        <w:t xml:space="preserve"> reference area in </w:t>
      </w:r>
      <w:r w:rsidR="000C0748">
        <w:rPr>
          <w:lang w:val="en-US"/>
        </w:rPr>
        <w:t xml:space="preserve">grassland </w:t>
      </w:r>
      <w:r>
        <w:rPr>
          <w:lang w:val="en-US"/>
        </w:rPr>
        <w:t>habitats</w:t>
      </w:r>
    </w:p>
    <w:p w14:paraId="099D81F9" w14:textId="77777777" w:rsidR="00C910AD" w:rsidRDefault="00C910AD" w:rsidP="00C910AD">
      <w:pPr>
        <w:pStyle w:val="Heading3"/>
        <w:rPr>
          <w:lang w:val="en-US"/>
        </w:rPr>
      </w:pPr>
      <w:r>
        <w:rPr>
          <w:lang w:val="en-US"/>
        </w:rPr>
        <w:t xml:space="preserve">Per Toräng, </w:t>
      </w:r>
      <w:r w:rsidRPr="00C910AD">
        <w:rPr>
          <w:lang w:val="en-US"/>
        </w:rPr>
        <w:t>SLU Swedish Species Information Centre</w:t>
      </w:r>
      <w:r>
        <w:rPr>
          <w:lang w:val="en-US"/>
        </w:rPr>
        <w:t xml:space="preserve">, </w:t>
      </w:r>
      <w:r w:rsidRPr="00C910AD">
        <w:rPr>
          <w:lang w:val="en-US"/>
        </w:rPr>
        <w:t>per.torang@slu.se</w:t>
      </w:r>
      <w:r>
        <w:rPr>
          <w:lang w:val="en-US"/>
        </w:rPr>
        <w:t xml:space="preserve"> </w:t>
      </w:r>
    </w:p>
    <w:p w14:paraId="7A8FD83D" w14:textId="77777777" w:rsidR="00FD6702" w:rsidRDefault="00FD6702" w:rsidP="00C910AD">
      <w:pPr>
        <w:pStyle w:val="Heading2"/>
        <w:rPr>
          <w:lang w:val="en-US"/>
        </w:rPr>
      </w:pPr>
      <w:r>
        <w:rPr>
          <w:lang w:val="en-US"/>
        </w:rPr>
        <w:t>Introduction</w:t>
      </w:r>
    </w:p>
    <w:p w14:paraId="7B67917F" w14:textId="4A79A77F" w:rsidR="007D4D7A" w:rsidRDefault="00FD6702" w:rsidP="00254101">
      <w:pPr>
        <w:rPr>
          <w:lang w:val="en-US"/>
        </w:rPr>
      </w:pPr>
      <w:proofErr w:type="spellStart"/>
      <w:r>
        <w:rPr>
          <w:lang w:val="en-US"/>
        </w:rPr>
        <w:t>F</w:t>
      </w:r>
      <w:r w:rsidR="00C910AD">
        <w:rPr>
          <w:lang w:val="en-US"/>
        </w:rPr>
        <w:t>avourable</w:t>
      </w:r>
      <w:proofErr w:type="spellEnd"/>
      <w:r w:rsidR="00C910AD">
        <w:rPr>
          <w:lang w:val="en-US"/>
        </w:rPr>
        <w:t xml:space="preserve"> reference values </w:t>
      </w:r>
      <w:r>
        <w:rPr>
          <w:lang w:val="en-US"/>
        </w:rPr>
        <w:t xml:space="preserve">can be </w:t>
      </w:r>
      <w:r w:rsidR="001355EF">
        <w:rPr>
          <w:lang w:val="en-US"/>
        </w:rPr>
        <w:t>assessed</w:t>
      </w:r>
      <w:r>
        <w:rPr>
          <w:lang w:val="en-US"/>
        </w:rPr>
        <w:t xml:space="preserve"> according to two approaches: a model-</w:t>
      </w:r>
      <w:r w:rsidRPr="00FD6702">
        <w:rPr>
          <w:lang w:val="en-US"/>
        </w:rPr>
        <w:t>based approach and a reference</w:t>
      </w:r>
      <w:r>
        <w:rPr>
          <w:lang w:val="en-US"/>
        </w:rPr>
        <w:t>-</w:t>
      </w:r>
      <w:r w:rsidRPr="00FD6702">
        <w:rPr>
          <w:lang w:val="en-US"/>
        </w:rPr>
        <w:t xml:space="preserve">based approach. </w:t>
      </w:r>
      <w:r>
        <w:rPr>
          <w:lang w:val="en-US"/>
        </w:rPr>
        <w:t>Here,</w:t>
      </w:r>
      <w:r w:rsidRPr="00FD6702">
        <w:rPr>
          <w:lang w:val="en-US"/>
        </w:rPr>
        <w:t xml:space="preserve"> </w:t>
      </w:r>
      <w:r w:rsidR="00C910AD">
        <w:rPr>
          <w:lang w:val="en-US"/>
        </w:rPr>
        <w:t xml:space="preserve">I present </w:t>
      </w:r>
      <w:r w:rsidRPr="00FD6702">
        <w:rPr>
          <w:lang w:val="en-US"/>
        </w:rPr>
        <w:t xml:space="preserve">a </w:t>
      </w:r>
      <w:r w:rsidR="004C219F">
        <w:rPr>
          <w:lang w:val="en-US"/>
        </w:rPr>
        <w:t>model</w:t>
      </w:r>
      <w:r w:rsidRPr="00FD6702">
        <w:rPr>
          <w:lang w:val="en-US"/>
        </w:rPr>
        <w:t xml:space="preserve"> </w:t>
      </w:r>
      <w:r w:rsidR="001355EF">
        <w:rPr>
          <w:lang w:val="en-US"/>
        </w:rPr>
        <w:t xml:space="preserve">that </w:t>
      </w:r>
      <w:r w:rsidR="00DF2814">
        <w:rPr>
          <w:lang w:val="en-US"/>
        </w:rPr>
        <w:t>estimates</w:t>
      </w:r>
      <w:r>
        <w:rPr>
          <w:lang w:val="en-US"/>
        </w:rPr>
        <w:t xml:space="preserve"> </w:t>
      </w:r>
      <w:r w:rsidR="001355EF">
        <w:rPr>
          <w:lang w:val="en-US"/>
        </w:rPr>
        <w:t xml:space="preserve">habitat </w:t>
      </w:r>
      <w:r>
        <w:rPr>
          <w:lang w:val="en-US"/>
        </w:rPr>
        <w:t>threshold values for semi</w:t>
      </w:r>
      <w:r w:rsidR="002408FC">
        <w:rPr>
          <w:lang w:val="en-US"/>
        </w:rPr>
        <w:t>-</w:t>
      </w:r>
      <w:r>
        <w:rPr>
          <w:lang w:val="en-US"/>
        </w:rPr>
        <w:t xml:space="preserve">natural grassland </w:t>
      </w:r>
      <w:r w:rsidR="00791E10">
        <w:rPr>
          <w:lang w:val="en-US"/>
        </w:rPr>
        <w:t>specialist</w:t>
      </w:r>
      <w:r w:rsidRPr="00FD6702">
        <w:rPr>
          <w:lang w:val="en-US"/>
        </w:rPr>
        <w:t xml:space="preserve"> </w:t>
      </w:r>
      <w:r w:rsidR="00840C01">
        <w:rPr>
          <w:lang w:val="en-US"/>
        </w:rPr>
        <w:t>species</w:t>
      </w:r>
      <w:r w:rsidRPr="00FD6702">
        <w:rPr>
          <w:lang w:val="en-US"/>
        </w:rPr>
        <w:t xml:space="preserve"> in </w:t>
      </w:r>
      <w:r>
        <w:rPr>
          <w:lang w:val="en-US"/>
        </w:rPr>
        <w:t>Sweden</w:t>
      </w:r>
      <w:r w:rsidRPr="00FD6702">
        <w:rPr>
          <w:lang w:val="en-US"/>
        </w:rPr>
        <w:t>.</w:t>
      </w:r>
      <w:r w:rsidR="004C219F">
        <w:rPr>
          <w:lang w:val="en-US"/>
        </w:rPr>
        <w:t xml:space="preserve"> Such thresholds may form the basis for a reference-based approach </w:t>
      </w:r>
      <w:r w:rsidR="001355EF">
        <w:rPr>
          <w:lang w:val="en-US"/>
        </w:rPr>
        <w:t>to</w:t>
      </w:r>
      <w:r w:rsidR="004C219F">
        <w:rPr>
          <w:lang w:val="en-US"/>
        </w:rPr>
        <w:t xml:space="preserve"> </w:t>
      </w:r>
      <w:r w:rsidR="001355EF">
        <w:rPr>
          <w:lang w:val="en-US"/>
        </w:rPr>
        <w:t>assess</w:t>
      </w:r>
      <w:r w:rsidR="004C219F">
        <w:rPr>
          <w:lang w:val="en-US"/>
        </w:rPr>
        <w:t xml:space="preserve"> reference values for habitat area.</w:t>
      </w:r>
      <w:r w:rsidR="00DB0EAC">
        <w:rPr>
          <w:lang w:val="en-US"/>
        </w:rPr>
        <w:t xml:space="preserve"> However, it is suggested that assessments are also compared to </w:t>
      </w:r>
      <w:r w:rsidR="00DB0EAC" w:rsidRPr="00DB0EAC">
        <w:rPr>
          <w:lang w:val="en-US"/>
        </w:rPr>
        <w:t xml:space="preserve">historical records of </w:t>
      </w:r>
      <w:r w:rsidR="00DB0EAC">
        <w:rPr>
          <w:lang w:val="en-US"/>
        </w:rPr>
        <w:t xml:space="preserve">habitat </w:t>
      </w:r>
      <w:r w:rsidR="00DB0EAC" w:rsidRPr="00DB0EAC">
        <w:rPr>
          <w:lang w:val="en-US"/>
        </w:rPr>
        <w:t>land cover and location</w:t>
      </w:r>
      <w:r w:rsidR="00DB0EAC">
        <w:rPr>
          <w:lang w:val="en-US"/>
        </w:rPr>
        <w:t>.</w:t>
      </w:r>
    </w:p>
    <w:p w14:paraId="4F45A05C" w14:textId="40249307" w:rsidR="00FD6702" w:rsidRDefault="004C219F" w:rsidP="00254101">
      <w:pPr>
        <w:rPr>
          <w:lang w:val="en-US"/>
        </w:rPr>
      </w:pPr>
      <w:r>
        <w:rPr>
          <w:lang w:val="en-US"/>
        </w:rPr>
        <w:t xml:space="preserve">The </w:t>
      </w:r>
      <w:r w:rsidR="004043D4">
        <w:rPr>
          <w:lang w:val="en-US"/>
        </w:rPr>
        <w:t>approach</w:t>
      </w:r>
      <w:r>
        <w:rPr>
          <w:lang w:val="en-US"/>
        </w:rPr>
        <w:t xml:space="preserve"> is</w:t>
      </w:r>
      <w:r w:rsidR="00FD6702">
        <w:rPr>
          <w:lang w:val="en-US"/>
        </w:rPr>
        <w:t xml:space="preserve"> </w:t>
      </w:r>
      <w:r>
        <w:rPr>
          <w:lang w:val="en-US"/>
        </w:rPr>
        <w:t>partly based on</w:t>
      </w:r>
      <w:r w:rsidR="00FD6702">
        <w:rPr>
          <w:lang w:val="en-US"/>
        </w:rPr>
        <w:t xml:space="preserve"> </w:t>
      </w:r>
      <w:r w:rsidR="0083714F">
        <w:rPr>
          <w:lang w:val="en-US"/>
        </w:rPr>
        <w:t>two reports that recount</w:t>
      </w:r>
      <w:r w:rsidR="00FA0515">
        <w:rPr>
          <w:lang w:val="en-US"/>
        </w:rPr>
        <w:t xml:space="preserve"> </w:t>
      </w:r>
      <w:r w:rsidR="004043D4">
        <w:rPr>
          <w:lang w:val="en-US"/>
        </w:rPr>
        <w:t>potential</w:t>
      </w:r>
      <w:r w:rsidR="00FA0515">
        <w:rPr>
          <w:lang w:val="en-US"/>
        </w:rPr>
        <w:t xml:space="preserve"> </w:t>
      </w:r>
      <w:r w:rsidR="004043D4">
        <w:rPr>
          <w:lang w:val="en-US"/>
        </w:rPr>
        <w:t>methods</w:t>
      </w:r>
      <w:r w:rsidR="00FA0515">
        <w:rPr>
          <w:lang w:val="en-US"/>
        </w:rPr>
        <w:t xml:space="preserve"> </w:t>
      </w:r>
      <w:r w:rsidR="004043D4">
        <w:rPr>
          <w:lang w:val="en-US"/>
        </w:rPr>
        <w:t>to assess</w:t>
      </w:r>
      <w:r w:rsidR="00FA0515">
        <w:rPr>
          <w:lang w:val="en-US"/>
        </w:rPr>
        <w:t xml:space="preserve"> </w:t>
      </w:r>
      <w:proofErr w:type="spellStart"/>
      <w:r w:rsidR="00FA0515">
        <w:rPr>
          <w:lang w:val="en-US"/>
        </w:rPr>
        <w:t>favourable</w:t>
      </w:r>
      <w:proofErr w:type="spellEnd"/>
      <w:r w:rsidR="00FA0515">
        <w:rPr>
          <w:lang w:val="en-US"/>
        </w:rPr>
        <w:t xml:space="preserve"> reference</w:t>
      </w:r>
      <w:r w:rsidR="00FD6702">
        <w:rPr>
          <w:lang w:val="en-US"/>
        </w:rPr>
        <w:t xml:space="preserve"> area</w:t>
      </w:r>
      <w:r w:rsidR="004043D4">
        <w:rPr>
          <w:lang w:val="en-US"/>
        </w:rPr>
        <w:t>s</w:t>
      </w:r>
      <w:r w:rsidR="00FD6702">
        <w:rPr>
          <w:lang w:val="en-US"/>
        </w:rPr>
        <w:t xml:space="preserve"> for terrestrial habitats </w:t>
      </w:r>
      <w:r w:rsidR="004043D4">
        <w:rPr>
          <w:lang w:val="en-US"/>
        </w:rPr>
        <w:t>drafted</w:t>
      </w:r>
      <w:r w:rsidR="00FD6702">
        <w:rPr>
          <w:lang w:val="en-US"/>
        </w:rPr>
        <w:t xml:space="preserve"> by the SLU Swedish Species Information Centre on commission by the Swedish Environmental Protection Agency</w:t>
      </w:r>
      <w:r w:rsidR="002408FC">
        <w:rPr>
          <w:lang w:val="en-US"/>
        </w:rPr>
        <w:t xml:space="preserve"> (</w:t>
      </w:r>
      <w:r w:rsidR="00911764">
        <w:rPr>
          <w:lang w:val="en-US"/>
        </w:rPr>
        <w:t xml:space="preserve">Toräng &amp; Berglund 2019, </w:t>
      </w:r>
      <w:r w:rsidR="00FA0515">
        <w:rPr>
          <w:lang w:val="en-US"/>
        </w:rPr>
        <w:t>Toräng 2020</w:t>
      </w:r>
      <w:r w:rsidR="002408FC">
        <w:rPr>
          <w:lang w:val="en-US"/>
        </w:rPr>
        <w:t>)</w:t>
      </w:r>
      <w:r w:rsidR="00FA0515">
        <w:rPr>
          <w:lang w:val="en-US"/>
        </w:rPr>
        <w:t>, and partly on a</w:t>
      </w:r>
      <w:r>
        <w:rPr>
          <w:lang w:val="en-US"/>
        </w:rPr>
        <w:t xml:space="preserve"> habitat threshold model developed by researchers at Linköping University in a project financed by the </w:t>
      </w:r>
      <w:r w:rsidR="00C910AD" w:rsidRPr="00C910AD">
        <w:rPr>
          <w:lang w:val="en-US"/>
        </w:rPr>
        <w:t>Swedish Board of Agriculture</w:t>
      </w:r>
      <w:r w:rsidR="00C910AD">
        <w:rPr>
          <w:lang w:val="en-US"/>
        </w:rPr>
        <w:t xml:space="preserve"> (Bergman et al. 2022). </w:t>
      </w:r>
    </w:p>
    <w:p w14:paraId="3D25C090" w14:textId="77777777" w:rsidR="00FD6702" w:rsidRDefault="00FD6702" w:rsidP="00C910AD">
      <w:pPr>
        <w:pStyle w:val="Heading2"/>
        <w:rPr>
          <w:lang w:val="en-US"/>
        </w:rPr>
      </w:pPr>
      <w:r>
        <w:rPr>
          <w:lang w:val="en-US"/>
        </w:rPr>
        <w:t>Background</w:t>
      </w:r>
    </w:p>
    <w:p w14:paraId="6C5937AA" w14:textId="712ECAE5" w:rsidR="00FD6702" w:rsidRDefault="00FD6702" w:rsidP="00254101">
      <w:pPr>
        <w:rPr>
          <w:lang w:val="en-US"/>
        </w:rPr>
      </w:pPr>
      <w:r w:rsidRPr="00FD6702">
        <w:rPr>
          <w:lang w:val="en-US"/>
        </w:rPr>
        <w:t xml:space="preserve">Land-use changes during the 20th century, including the cessation of traditional grassland management, have resulted in a tremendous decline of semi-natural grassland habitats, and a parallel loss of biodiversity (Chamberlain et al. 2000, </w:t>
      </w:r>
      <w:proofErr w:type="spellStart"/>
      <w:r w:rsidRPr="00FD6702">
        <w:rPr>
          <w:lang w:val="en-US"/>
        </w:rPr>
        <w:t>Luoto</w:t>
      </w:r>
      <w:proofErr w:type="spellEnd"/>
      <w:r w:rsidRPr="00FD6702">
        <w:rPr>
          <w:lang w:val="en-US"/>
        </w:rPr>
        <w:t xml:space="preserve"> et al. 2003, Öckinger &amp; Smith 2006, Jiang et al. 2013, Cousins et al. 2015, </w:t>
      </w:r>
      <w:proofErr w:type="spellStart"/>
      <w:r w:rsidRPr="00FD6702">
        <w:rPr>
          <w:lang w:val="en-US"/>
        </w:rPr>
        <w:t>Hooftman</w:t>
      </w:r>
      <w:proofErr w:type="spellEnd"/>
      <w:r w:rsidRPr="00FD6702">
        <w:rPr>
          <w:lang w:val="en-US"/>
        </w:rPr>
        <w:t xml:space="preserve"> et al. 2016). The high number of threatened species (Eide et al. 2020), and the magnitude of present extinction debts (Helm et al. 2006</w:t>
      </w:r>
      <w:r w:rsidR="00E15308">
        <w:rPr>
          <w:lang w:val="en-US"/>
        </w:rPr>
        <w:t>, Cousins 2009</w:t>
      </w:r>
      <w:r w:rsidRPr="00FD6702">
        <w:rPr>
          <w:lang w:val="en-US"/>
        </w:rPr>
        <w:t xml:space="preserve">, Krauss et al. 2010, Auffret et al. 2018) in semi-natural grasslands indicate that the extant amount of these habitats is too </w:t>
      </w:r>
      <w:r w:rsidR="00D97EBF">
        <w:rPr>
          <w:lang w:val="en-US"/>
        </w:rPr>
        <w:t>small</w:t>
      </w:r>
      <w:r w:rsidRPr="00FD6702">
        <w:rPr>
          <w:lang w:val="en-US"/>
        </w:rPr>
        <w:t xml:space="preserve"> to ensure the long-term </w:t>
      </w:r>
      <w:r w:rsidR="00402039">
        <w:rPr>
          <w:lang w:val="en-US"/>
        </w:rPr>
        <w:t>viability</w:t>
      </w:r>
      <w:r w:rsidRPr="00FD6702">
        <w:rPr>
          <w:lang w:val="en-US"/>
        </w:rPr>
        <w:t xml:space="preserve"> of associated biodiversity. It is therefore necessary to re-establish functional habitat networks with sufficient area, quality, and </w:t>
      </w:r>
      <w:r w:rsidR="00E04CBA">
        <w:rPr>
          <w:lang w:val="en-US"/>
        </w:rPr>
        <w:t>connectivity</w:t>
      </w:r>
      <w:r w:rsidRPr="00FD6702">
        <w:rPr>
          <w:lang w:val="en-US"/>
        </w:rPr>
        <w:t>, so that local populations of focal species can be maintained (</w:t>
      </w:r>
      <w:proofErr w:type="spellStart"/>
      <w:r w:rsidRPr="00FD6702">
        <w:rPr>
          <w:lang w:val="en-US"/>
        </w:rPr>
        <w:t>Pärtel</w:t>
      </w:r>
      <w:proofErr w:type="spellEnd"/>
      <w:r w:rsidRPr="00FD6702">
        <w:rPr>
          <w:lang w:val="en-US"/>
        </w:rPr>
        <w:t xml:space="preserve"> et al. 2005, Manton &amp; </w:t>
      </w:r>
      <w:proofErr w:type="spellStart"/>
      <w:r w:rsidRPr="00FD6702">
        <w:rPr>
          <w:lang w:val="en-US"/>
        </w:rPr>
        <w:t>Angelstam</w:t>
      </w:r>
      <w:proofErr w:type="spellEnd"/>
      <w:r w:rsidRPr="00FD6702">
        <w:rPr>
          <w:lang w:val="en-US"/>
        </w:rPr>
        <w:t xml:space="preserve"> 2018).</w:t>
      </w:r>
    </w:p>
    <w:p w14:paraId="35B96F6B" w14:textId="25B0B124" w:rsidR="005B3699" w:rsidRDefault="005B3699" w:rsidP="00254101">
      <w:pPr>
        <w:rPr>
          <w:lang w:val="en-US"/>
        </w:rPr>
      </w:pPr>
      <w:r w:rsidRPr="005B3699">
        <w:rPr>
          <w:lang w:val="en-US"/>
        </w:rPr>
        <w:t xml:space="preserve">One way to evaluate how much habitat that is needed for functional habitat networks is to identify relationships between the long-term maintenance of focal species and the critical amount of habitat, assuming that the probability of population persistence is rapidly reduced if the amount of habitat drops below a critical limit (Andersson et al. 2015, 2019, Manton &amp; </w:t>
      </w:r>
      <w:proofErr w:type="spellStart"/>
      <w:r w:rsidRPr="005B3699">
        <w:rPr>
          <w:lang w:val="en-US"/>
        </w:rPr>
        <w:t>Angelstam</w:t>
      </w:r>
      <w:proofErr w:type="spellEnd"/>
      <w:r w:rsidRPr="005B3699">
        <w:rPr>
          <w:lang w:val="en-US"/>
        </w:rPr>
        <w:t xml:space="preserve"> 2018). These limits are species specific and represent minimum area requirements (MAR), i.e. the smallest habitat area needed to sustain viable populations (Baguette &amp; Stevens 2013, </w:t>
      </w:r>
      <w:proofErr w:type="spellStart"/>
      <w:r w:rsidRPr="005B3699">
        <w:rPr>
          <w:lang w:val="en-US"/>
        </w:rPr>
        <w:t>Pe’er</w:t>
      </w:r>
      <w:proofErr w:type="spellEnd"/>
      <w:r w:rsidRPr="005B3699">
        <w:rPr>
          <w:lang w:val="en-US"/>
        </w:rPr>
        <w:t xml:space="preserve"> et al. 2014). </w:t>
      </w:r>
      <w:r w:rsidR="009263D7">
        <w:rPr>
          <w:lang w:val="en-US"/>
        </w:rPr>
        <w:t>A</w:t>
      </w:r>
      <w:r>
        <w:rPr>
          <w:lang w:val="en-US"/>
        </w:rPr>
        <w:t xml:space="preserve"> survey</w:t>
      </w:r>
      <w:r w:rsidR="009263D7">
        <w:rPr>
          <w:lang w:val="en-US"/>
        </w:rPr>
        <w:t xml:space="preserve"> of </w:t>
      </w:r>
      <w:r w:rsidRPr="005B3699">
        <w:rPr>
          <w:lang w:val="en-US"/>
        </w:rPr>
        <w:t xml:space="preserve">the current </w:t>
      </w:r>
      <w:r w:rsidR="009263D7">
        <w:rPr>
          <w:lang w:val="en-US"/>
        </w:rPr>
        <w:t xml:space="preserve">scientific </w:t>
      </w:r>
      <w:r w:rsidRPr="005B3699">
        <w:rPr>
          <w:lang w:val="en-US"/>
        </w:rPr>
        <w:t xml:space="preserve">literature </w:t>
      </w:r>
      <w:r w:rsidR="009263D7">
        <w:rPr>
          <w:lang w:val="en-US"/>
        </w:rPr>
        <w:t>suggested that it is difficult to specify generic</w:t>
      </w:r>
      <w:r w:rsidRPr="005B3699">
        <w:rPr>
          <w:lang w:val="en-US"/>
        </w:rPr>
        <w:t xml:space="preserve"> conservation targets in semi-natural grasslands </w:t>
      </w:r>
      <w:r w:rsidR="009263D7">
        <w:rPr>
          <w:lang w:val="en-US"/>
        </w:rPr>
        <w:t>based on habitat thresholds</w:t>
      </w:r>
      <w:r w:rsidR="00D97EBF">
        <w:rPr>
          <w:lang w:val="en-US"/>
        </w:rPr>
        <w:t>,</w:t>
      </w:r>
      <w:r w:rsidR="009263D7">
        <w:rPr>
          <w:lang w:val="en-US"/>
        </w:rPr>
        <w:t xml:space="preserve"> even though several studies agrees on that </w:t>
      </w:r>
      <w:r w:rsidR="00A877A3">
        <w:rPr>
          <w:lang w:val="en-US"/>
        </w:rPr>
        <w:t>at least 10%</w:t>
      </w:r>
      <w:r w:rsidR="009263D7">
        <w:rPr>
          <w:lang w:val="en-US"/>
        </w:rPr>
        <w:t xml:space="preserve"> of the land cover is </w:t>
      </w:r>
      <w:r w:rsidR="00A877A3">
        <w:rPr>
          <w:lang w:val="en-US"/>
        </w:rPr>
        <w:t>required</w:t>
      </w:r>
      <w:r w:rsidR="009263D7">
        <w:rPr>
          <w:lang w:val="en-US"/>
        </w:rPr>
        <w:t xml:space="preserve"> for the long term maintenance of several species </w:t>
      </w:r>
      <w:r w:rsidRPr="005B3699">
        <w:rPr>
          <w:lang w:val="en-US"/>
        </w:rPr>
        <w:t>(Toräng 2020</w:t>
      </w:r>
      <w:r w:rsidR="00A877A3">
        <w:rPr>
          <w:lang w:val="en-US"/>
        </w:rPr>
        <w:t>, Cousins et al. 2022</w:t>
      </w:r>
      <w:r w:rsidRPr="005B3699">
        <w:rPr>
          <w:lang w:val="en-US"/>
        </w:rPr>
        <w:t xml:space="preserve">). </w:t>
      </w:r>
    </w:p>
    <w:p w14:paraId="25F41CB0" w14:textId="77777777" w:rsidR="004C219F" w:rsidRDefault="004C219F" w:rsidP="00C910AD">
      <w:pPr>
        <w:pStyle w:val="Heading2"/>
        <w:rPr>
          <w:lang w:val="en-US"/>
        </w:rPr>
      </w:pPr>
      <w:r>
        <w:rPr>
          <w:lang w:val="en-US"/>
        </w:rPr>
        <w:lastRenderedPageBreak/>
        <w:t>Methodology</w:t>
      </w:r>
    </w:p>
    <w:p w14:paraId="20FD43FC" w14:textId="77777777" w:rsidR="00550A48" w:rsidRDefault="006D79A3" w:rsidP="006D79A3">
      <w:pPr>
        <w:pStyle w:val="Heading3"/>
        <w:rPr>
          <w:lang w:val="en-US"/>
        </w:rPr>
      </w:pPr>
      <w:r>
        <w:rPr>
          <w:lang w:val="en-US"/>
        </w:rPr>
        <w:t xml:space="preserve">Modeling </w:t>
      </w:r>
      <w:r w:rsidR="009B3C9A">
        <w:rPr>
          <w:lang w:val="en-US"/>
        </w:rPr>
        <w:t>critical thresholds for species persistence</w:t>
      </w:r>
    </w:p>
    <w:p w14:paraId="2F25EF4B" w14:textId="24E3F67C" w:rsidR="002408FC" w:rsidRDefault="00345FA9" w:rsidP="00254101">
      <w:pPr>
        <w:rPr>
          <w:lang w:val="en-US"/>
        </w:rPr>
      </w:pPr>
      <w:r w:rsidRPr="00345FA9">
        <w:rPr>
          <w:lang w:val="en-US"/>
        </w:rPr>
        <w:t xml:space="preserve">The area of different types of grasslands within 409 3x3 km </w:t>
      </w:r>
      <w:r w:rsidR="00323C83">
        <w:rPr>
          <w:lang w:val="en-US"/>
        </w:rPr>
        <w:t>landscape quadrats</w:t>
      </w:r>
      <w:r w:rsidRPr="00345FA9">
        <w:rPr>
          <w:lang w:val="en-US"/>
        </w:rPr>
        <w:t xml:space="preserve"> w</w:t>
      </w:r>
      <w:r w:rsidR="003B38EF">
        <w:rPr>
          <w:lang w:val="en-US"/>
        </w:rPr>
        <w:t>ere</w:t>
      </w:r>
      <w:r w:rsidRPr="00345FA9">
        <w:rPr>
          <w:lang w:val="en-US"/>
        </w:rPr>
        <w:t xml:space="preserve"> assessed from aerial photos as a part of the </w:t>
      </w:r>
      <w:proofErr w:type="spellStart"/>
      <w:r w:rsidRPr="00345FA9">
        <w:rPr>
          <w:lang w:val="en-US"/>
        </w:rPr>
        <w:t>Remiil</w:t>
      </w:r>
      <w:proofErr w:type="spellEnd"/>
      <w:r w:rsidRPr="00345FA9">
        <w:rPr>
          <w:lang w:val="en-US"/>
        </w:rPr>
        <w:t xml:space="preserve"> monitoring program (</w:t>
      </w:r>
      <w:r>
        <w:rPr>
          <w:lang w:val="en-US"/>
        </w:rPr>
        <w:t>Lundin et al. 2016)</w:t>
      </w:r>
      <w:r w:rsidR="00C910AD" w:rsidRPr="00C910AD">
        <w:rPr>
          <w:lang w:val="en-US"/>
        </w:rPr>
        <w:t>.</w:t>
      </w:r>
      <w:r>
        <w:rPr>
          <w:lang w:val="en-US"/>
        </w:rPr>
        <w:t xml:space="preserve"> Grassland habitat specialists may utilize many different types of grasslands but their relative importance for species viability varies depending on habitat characteristics such as current management, land-use history, and soil type. </w:t>
      </w:r>
      <w:r w:rsidR="00BF20AD">
        <w:rPr>
          <w:lang w:val="en-US"/>
        </w:rPr>
        <w:t>To accommodate for this variation in the habitat threshold model, the area</w:t>
      </w:r>
      <w:r>
        <w:rPr>
          <w:lang w:val="en-US"/>
        </w:rPr>
        <w:t xml:space="preserve"> </w:t>
      </w:r>
      <w:r w:rsidR="00BF20AD">
        <w:rPr>
          <w:lang w:val="en-US"/>
        </w:rPr>
        <w:t xml:space="preserve">of the different grassland types </w:t>
      </w:r>
      <w:proofErr w:type="gramStart"/>
      <w:r w:rsidR="00BF20AD">
        <w:rPr>
          <w:lang w:val="en-US"/>
        </w:rPr>
        <w:t>were</w:t>
      </w:r>
      <w:proofErr w:type="gramEnd"/>
      <w:r w:rsidR="00BF20AD">
        <w:rPr>
          <w:lang w:val="en-US"/>
        </w:rPr>
        <w:t xml:space="preserve"> weighted to reflect their relative importance for grassland habitat specialists, and for each</w:t>
      </w:r>
      <w:r w:rsidR="00402039">
        <w:rPr>
          <w:lang w:val="en-US"/>
        </w:rPr>
        <w:t xml:space="preserve"> of the 409</w:t>
      </w:r>
      <w:r w:rsidR="00BF20AD">
        <w:rPr>
          <w:lang w:val="en-US"/>
        </w:rPr>
        <w:t xml:space="preserve"> landscape quadrat</w:t>
      </w:r>
      <w:r w:rsidR="00402039">
        <w:rPr>
          <w:lang w:val="en-US"/>
        </w:rPr>
        <w:t>s</w:t>
      </w:r>
      <w:r w:rsidR="00BF20AD">
        <w:rPr>
          <w:lang w:val="en-US"/>
        </w:rPr>
        <w:t xml:space="preserve">, </w:t>
      </w:r>
      <w:r w:rsidR="00BF20AD" w:rsidRPr="00BF20AD">
        <w:rPr>
          <w:lang w:val="en-US"/>
        </w:rPr>
        <w:t>a total weighted area was thus calculated</w:t>
      </w:r>
      <w:r w:rsidR="00BF20AD">
        <w:rPr>
          <w:lang w:val="en-US"/>
        </w:rPr>
        <w:t xml:space="preserve"> </w:t>
      </w:r>
      <w:r w:rsidR="00BF20AD" w:rsidRPr="00BF20AD">
        <w:rPr>
          <w:lang w:val="en-US"/>
        </w:rPr>
        <w:t>(Bergman et al 2022)</w:t>
      </w:r>
      <w:r w:rsidR="00BF20AD">
        <w:rPr>
          <w:lang w:val="en-US"/>
        </w:rPr>
        <w:t>.</w:t>
      </w:r>
    </w:p>
    <w:p w14:paraId="5D59D46E" w14:textId="77777777" w:rsidR="004C219F" w:rsidRDefault="002408FC" w:rsidP="00254101">
      <w:pPr>
        <w:rPr>
          <w:lang w:val="en-US"/>
        </w:rPr>
      </w:pPr>
      <w:r>
        <w:rPr>
          <w:lang w:val="en-US"/>
        </w:rPr>
        <w:t xml:space="preserve">To </w:t>
      </w:r>
      <w:r w:rsidR="00FA0515">
        <w:rPr>
          <w:lang w:val="en-US"/>
        </w:rPr>
        <w:t>examine</w:t>
      </w:r>
      <w:r>
        <w:rPr>
          <w:lang w:val="en-US"/>
        </w:rPr>
        <w:t xml:space="preserve"> the relationship between </w:t>
      </w:r>
      <w:r w:rsidRPr="002408FC">
        <w:rPr>
          <w:lang w:val="en-US"/>
        </w:rPr>
        <w:t>the amount of grassland habitat and the occurrence of grassland specialist species</w:t>
      </w:r>
      <w:r>
        <w:rPr>
          <w:lang w:val="en-US"/>
        </w:rPr>
        <w:t xml:space="preserve">, species observation data was extracted from several sources, including data from both systematic inventories and the Swedish Species Observation System that includes spontaneously reported observations by volunteers. Binomial regression models were used to explore relationships </w:t>
      </w:r>
      <w:r w:rsidR="00402039">
        <w:rPr>
          <w:lang w:val="en-US"/>
        </w:rPr>
        <w:t>between species occurrence and</w:t>
      </w:r>
      <w:r w:rsidR="002A6EB2">
        <w:rPr>
          <w:lang w:val="en-US"/>
        </w:rPr>
        <w:t xml:space="preserve"> grassland habitat area</w:t>
      </w:r>
      <w:r w:rsidR="00402039">
        <w:rPr>
          <w:lang w:val="en-US"/>
        </w:rPr>
        <w:t xml:space="preserve">, </w:t>
      </w:r>
      <w:r>
        <w:rPr>
          <w:lang w:val="en-US"/>
        </w:rPr>
        <w:t xml:space="preserve">and </w:t>
      </w:r>
      <w:r w:rsidR="00402039">
        <w:rPr>
          <w:lang w:val="en-US"/>
        </w:rPr>
        <w:t xml:space="preserve">to identify </w:t>
      </w:r>
      <w:r>
        <w:rPr>
          <w:lang w:val="en-US"/>
        </w:rPr>
        <w:t xml:space="preserve">thresholds </w:t>
      </w:r>
      <w:r w:rsidR="002A6EB2">
        <w:rPr>
          <w:lang w:val="en-US"/>
        </w:rPr>
        <w:t>for</w:t>
      </w:r>
      <w:r>
        <w:rPr>
          <w:lang w:val="en-US"/>
        </w:rPr>
        <w:t xml:space="preserve"> </w:t>
      </w:r>
      <w:r w:rsidR="002A6EB2">
        <w:rPr>
          <w:lang w:val="en-US"/>
        </w:rPr>
        <w:t>individual species. In total, the models included more than 34 000 species observations</w:t>
      </w:r>
      <w:r w:rsidR="00402039">
        <w:rPr>
          <w:lang w:val="en-US"/>
        </w:rPr>
        <w:t>,</w:t>
      </w:r>
      <w:r w:rsidR="002A6EB2">
        <w:rPr>
          <w:lang w:val="en-US"/>
        </w:rPr>
        <w:t xml:space="preserve"> and thresholds were estimated for 221 </w:t>
      </w:r>
      <w:r w:rsidR="00D97EBF">
        <w:rPr>
          <w:lang w:val="en-US"/>
        </w:rPr>
        <w:t xml:space="preserve">species of </w:t>
      </w:r>
      <w:r w:rsidR="002A6EB2">
        <w:rPr>
          <w:lang w:val="en-US"/>
        </w:rPr>
        <w:t>plants, butterflies</w:t>
      </w:r>
      <w:r w:rsidR="00402039">
        <w:rPr>
          <w:lang w:val="en-US"/>
        </w:rPr>
        <w:t>,</w:t>
      </w:r>
      <w:r w:rsidR="002A6EB2">
        <w:rPr>
          <w:lang w:val="en-US"/>
        </w:rPr>
        <w:t xml:space="preserve"> and bees (Bergman et al. 2022). </w:t>
      </w:r>
    </w:p>
    <w:p w14:paraId="5A37650A" w14:textId="77777777" w:rsidR="00605AAA" w:rsidRDefault="00605AAA" w:rsidP="00254101">
      <w:pPr>
        <w:rPr>
          <w:lang w:val="en-US"/>
        </w:rPr>
      </w:pPr>
      <w:r>
        <w:rPr>
          <w:lang w:val="en-US"/>
        </w:rPr>
        <w:t xml:space="preserve">Most species showed a positive relationship between grassland habitat area and the probability of occurrence. In addition, significant thresholds </w:t>
      </w:r>
      <w:r w:rsidR="00025404">
        <w:rPr>
          <w:lang w:val="en-US"/>
        </w:rPr>
        <w:t>were identified for several species, varying from a few percent up to 20% grassland habitat area</w:t>
      </w:r>
      <w:r w:rsidR="000B3695">
        <w:rPr>
          <w:lang w:val="en-US"/>
        </w:rPr>
        <w:t>,</w:t>
      </w:r>
      <w:r w:rsidR="00025404">
        <w:rPr>
          <w:lang w:val="en-US"/>
        </w:rPr>
        <w:t xml:space="preserve"> even though thresholds within the range 5-15% habitat area were most commonly observed (Bergman et al. 2022). </w:t>
      </w:r>
      <w:r w:rsidR="000B3695">
        <w:rPr>
          <w:lang w:val="en-US"/>
        </w:rPr>
        <w:t>Comparable</w:t>
      </w:r>
      <w:r w:rsidR="009263D7">
        <w:rPr>
          <w:lang w:val="en-US"/>
        </w:rPr>
        <w:t xml:space="preserve"> results were found in models using similar data but with a Bayesian statistical approach (Toräng &amp; Stephan 2021). </w:t>
      </w:r>
    </w:p>
    <w:p w14:paraId="1A2C0BC0" w14:textId="77777777" w:rsidR="00550A48" w:rsidRDefault="00550A48" w:rsidP="00550A48">
      <w:pPr>
        <w:pStyle w:val="Heading3"/>
        <w:rPr>
          <w:lang w:val="en-US"/>
        </w:rPr>
      </w:pPr>
      <w:r>
        <w:rPr>
          <w:lang w:val="en-US"/>
        </w:rPr>
        <w:t>Limitations</w:t>
      </w:r>
    </w:p>
    <w:p w14:paraId="26CB736F" w14:textId="77777777" w:rsidR="00550A48" w:rsidRDefault="00476851" w:rsidP="00254101">
      <w:pPr>
        <w:rPr>
          <w:lang w:val="en-US"/>
        </w:rPr>
      </w:pPr>
      <w:r w:rsidRPr="00476851">
        <w:rPr>
          <w:lang w:val="en-US"/>
        </w:rPr>
        <w:t xml:space="preserve">Significant correlations between population persistence and habitat area may reflect historical processes that have been lost in the modern landscape, and if so, should only be interpreted with caution. One approach to explore the possible influence of historical population processes and </w:t>
      </w:r>
      <w:proofErr w:type="gramStart"/>
      <w:r w:rsidRPr="00476851">
        <w:rPr>
          <w:lang w:val="en-US"/>
        </w:rPr>
        <w:t>present day</w:t>
      </w:r>
      <w:proofErr w:type="gramEnd"/>
      <w:r w:rsidRPr="00476851">
        <w:rPr>
          <w:lang w:val="en-US"/>
        </w:rPr>
        <w:t xml:space="preserve"> species occupancy would be to compare the present models with models where the habitat amount is quantified from historical records of grassland cover.</w:t>
      </w:r>
    </w:p>
    <w:p w14:paraId="66182304" w14:textId="12EDA0B2" w:rsidR="00476851" w:rsidRDefault="00476851" w:rsidP="00254101">
      <w:pPr>
        <w:rPr>
          <w:lang w:val="en-US"/>
        </w:rPr>
      </w:pPr>
      <w:r>
        <w:rPr>
          <w:lang w:val="en-US"/>
        </w:rPr>
        <w:t>In addition</w:t>
      </w:r>
      <w:r w:rsidRPr="00476851">
        <w:rPr>
          <w:lang w:val="en-US"/>
        </w:rPr>
        <w:t xml:space="preserve">, most of the surveyed </w:t>
      </w:r>
      <w:r>
        <w:rPr>
          <w:lang w:val="en-US"/>
        </w:rPr>
        <w:t>quadrats</w:t>
      </w:r>
      <w:r w:rsidRPr="00476851">
        <w:rPr>
          <w:lang w:val="en-US"/>
        </w:rPr>
        <w:t xml:space="preserve"> contain</w:t>
      </w:r>
      <w:r>
        <w:rPr>
          <w:lang w:val="en-US"/>
        </w:rPr>
        <w:t xml:space="preserve">ed small areas of </w:t>
      </w:r>
      <w:r w:rsidRPr="00476851">
        <w:rPr>
          <w:lang w:val="en-US"/>
        </w:rPr>
        <w:t>grassland habitat</w:t>
      </w:r>
      <w:r>
        <w:rPr>
          <w:lang w:val="en-US"/>
        </w:rPr>
        <w:t>, and less</w:t>
      </w:r>
      <w:r w:rsidRPr="00476851">
        <w:rPr>
          <w:lang w:val="en-US"/>
        </w:rPr>
        <w:t xml:space="preserve"> than what </w:t>
      </w:r>
      <w:r>
        <w:rPr>
          <w:lang w:val="en-US"/>
        </w:rPr>
        <w:t>is expected to be</w:t>
      </w:r>
      <w:r w:rsidRPr="00476851">
        <w:rPr>
          <w:lang w:val="en-US"/>
        </w:rPr>
        <w:t xml:space="preserve"> required for the long-term maintenance of many of the study species. It is therefore likely that several reported occurrences (especially for plants) </w:t>
      </w:r>
      <w:r w:rsidR="000B3695">
        <w:rPr>
          <w:lang w:val="en-US"/>
        </w:rPr>
        <w:t>were</w:t>
      </w:r>
      <w:r w:rsidRPr="00476851">
        <w:rPr>
          <w:lang w:val="en-US"/>
        </w:rPr>
        <w:t xml:space="preserve"> present due to time delays before local populations go extinct (i.e. extinction debt, </w:t>
      </w:r>
      <w:proofErr w:type="spellStart"/>
      <w:r w:rsidRPr="00476851">
        <w:rPr>
          <w:lang w:val="en-US"/>
        </w:rPr>
        <w:t>Hanski</w:t>
      </w:r>
      <w:proofErr w:type="spellEnd"/>
      <w:r w:rsidRPr="00476851">
        <w:rPr>
          <w:lang w:val="en-US"/>
        </w:rPr>
        <w:t xml:space="preserve"> &amp; </w:t>
      </w:r>
      <w:proofErr w:type="spellStart"/>
      <w:r w:rsidRPr="00476851">
        <w:rPr>
          <w:lang w:val="en-US"/>
        </w:rPr>
        <w:t>Ovaskainen</w:t>
      </w:r>
      <w:proofErr w:type="spellEnd"/>
      <w:r w:rsidRPr="00476851">
        <w:rPr>
          <w:lang w:val="en-US"/>
        </w:rPr>
        <w:t xml:space="preserve"> 2002). If so, modelled t</w:t>
      </w:r>
      <w:r w:rsidR="001C4588">
        <w:rPr>
          <w:lang w:val="en-US"/>
        </w:rPr>
        <w:t>h</w:t>
      </w:r>
      <w:r w:rsidRPr="00476851">
        <w:rPr>
          <w:lang w:val="en-US"/>
        </w:rPr>
        <w:t>resholds would underestimate true breaking</w:t>
      </w:r>
      <w:r w:rsidR="001C4588">
        <w:rPr>
          <w:lang w:val="en-US"/>
        </w:rPr>
        <w:t xml:space="preserve"> </w:t>
      </w:r>
      <w:bookmarkStart w:id="0" w:name="_GoBack"/>
      <w:bookmarkEnd w:id="0"/>
      <w:r w:rsidRPr="00476851">
        <w:rPr>
          <w:lang w:val="en-US"/>
        </w:rPr>
        <w:t>points for critical habitat amount.</w:t>
      </w:r>
    </w:p>
    <w:p w14:paraId="47044B69" w14:textId="22E658F7" w:rsidR="00476851" w:rsidRDefault="00476851" w:rsidP="00254101">
      <w:pPr>
        <w:rPr>
          <w:lang w:val="en-US"/>
        </w:rPr>
      </w:pPr>
      <w:r>
        <w:rPr>
          <w:lang w:val="en-US"/>
        </w:rPr>
        <w:t>Finally</w:t>
      </w:r>
      <w:r w:rsidRPr="00476851">
        <w:rPr>
          <w:lang w:val="en-US"/>
        </w:rPr>
        <w:t xml:space="preserve">, it is important to consider whether the geographical scale of the study is relevant for the spatial ecology of the study species. The present </w:t>
      </w:r>
      <w:r w:rsidR="00E04CBA">
        <w:rPr>
          <w:lang w:val="en-US"/>
        </w:rPr>
        <w:t>study</w:t>
      </w:r>
      <w:r w:rsidRPr="00476851">
        <w:rPr>
          <w:lang w:val="en-US"/>
        </w:rPr>
        <w:t xml:space="preserve"> is limited by the spatial scale used in the monitoring program </w:t>
      </w:r>
      <w:r w:rsidR="0068263D" w:rsidRPr="0068263D">
        <w:rPr>
          <w:lang w:val="en-US"/>
        </w:rPr>
        <w:t xml:space="preserve">from which data </w:t>
      </w:r>
      <w:r w:rsidR="0068263D">
        <w:rPr>
          <w:lang w:val="en-US"/>
        </w:rPr>
        <w:t>was</w:t>
      </w:r>
      <w:r w:rsidR="0068263D" w:rsidRPr="0068263D">
        <w:rPr>
          <w:lang w:val="en-US"/>
        </w:rPr>
        <w:t xml:space="preserve"> extracted </w:t>
      </w:r>
      <w:r w:rsidRPr="00476851">
        <w:rPr>
          <w:lang w:val="en-US"/>
        </w:rPr>
        <w:t>and this constraint is difficult to overcome.</w:t>
      </w:r>
    </w:p>
    <w:p w14:paraId="0ACDD7C2" w14:textId="77777777" w:rsidR="00550A48" w:rsidRDefault="00550A48" w:rsidP="00550A48">
      <w:pPr>
        <w:pStyle w:val="Heading3"/>
        <w:rPr>
          <w:lang w:val="en-US"/>
        </w:rPr>
      </w:pPr>
      <w:r>
        <w:rPr>
          <w:lang w:val="en-US"/>
        </w:rPr>
        <w:t>Comparison to other studies</w:t>
      </w:r>
    </w:p>
    <w:p w14:paraId="15DAF470" w14:textId="0224758F" w:rsidR="00476851" w:rsidRPr="00476851" w:rsidRDefault="00476851" w:rsidP="00476851">
      <w:pPr>
        <w:rPr>
          <w:lang w:val="en-US"/>
        </w:rPr>
      </w:pPr>
      <w:r>
        <w:rPr>
          <w:lang w:val="en-US"/>
        </w:rPr>
        <w:t>Even though thresholds</w:t>
      </w:r>
      <w:r w:rsidR="006171AA">
        <w:rPr>
          <w:lang w:val="en-US"/>
        </w:rPr>
        <w:t xml:space="preserve"> are</w:t>
      </w:r>
      <w:r>
        <w:rPr>
          <w:lang w:val="en-US"/>
        </w:rPr>
        <w:t xml:space="preserve"> </w:t>
      </w:r>
      <w:r w:rsidR="006171AA">
        <w:rPr>
          <w:lang w:val="en-US"/>
        </w:rPr>
        <w:t xml:space="preserve">dependent on the scale of study, and </w:t>
      </w:r>
      <w:r>
        <w:rPr>
          <w:lang w:val="en-US"/>
        </w:rPr>
        <w:t>var</w:t>
      </w:r>
      <w:r w:rsidR="006171AA">
        <w:rPr>
          <w:lang w:val="en-US"/>
        </w:rPr>
        <w:t>ies among species and habitats</w:t>
      </w:r>
      <w:r>
        <w:rPr>
          <w:lang w:val="en-US"/>
        </w:rPr>
        <w:t xml:space="preserve">, </w:t>
      </w:r>
      <w:r w:rsidR="006171AA">
        <w:rPr>
          <w:lang w:val="en-US"/>
        </w:rPr>
        <w:t xml:space="preserve">the </w:t>
      </w:r>
      <w:r>
        <w:rPr>
          <w:lang w:val="en-US"/>
        </w:rPr>
        <w:t xml:space="preserve">results from </w:t>
      </w:r>
      <w:r w:rsidR="000B3695">
        <w:rPr>
          <w:lang w:val="en-US"/>
        </w:rPr>
        <w:t xml:space="preserve">the modelling reported here </w:t>
      </w:r>
      <w:r w:rsidR="002C02D6">
        <w:rPr>
          <w:lang w:val="en-US"/>
        </w:rPr>
        <w:t xml:space="preserve">agrees with several published studies of area requirements among grassland specialists (reviewed by Toräng 2020), in that many species seem to require that at least </w:t>
      </w:r>
      <w:r w:rsidR="00791E10">
        <w:rPr>
          <w:lang w:val="en-US"/>
        </w:rPr>
        <w:t>10</w:t>
      </w:r>
      <w:r w:rsidR="002C02D6">
        <w:rPr>
          <w:lang w:val="en-US"/>
        </w:rPr>
        <w:t>% of the landscape area is covered by functional grassland habitat.</w:t>
      </w:r>
    </w:p>
    <w:p w14:paraId="0BE020B1" w14:textId="77777777" w:rsidR="00550A48" w:rsidRDefault="00550A48" w:rsidP="00550A48">
      <w:pPr>
        <w:pStyle w:val="Heading2"/>
        <w:rPr>
          <w:lang w:val="en-US"/>
        </w:rPr>
      </w:pPr>
      <w:r>
        <w:rPr>
          <w:lang w:val="en-US"/>
        </w:rPr>
        <w:lastRenderedPageBreak/>
        <w:t>Conclusions</w:t>
      </w:r>
    </w:p>
    <w:p w14:paraId="3052DC07" w14:textId="5C490234" w:rsidR="006171AA" w:rsidRDefault="000B3695" w:rsidP="006171AA">
      <w:pPr>
        <w:rPr>
          <w:lang w:val="en-US"/>
        </w:rPr>
      </w:pPr>
      <w:r>
        <w:rPr>
          <w:lang w:val="en-US"/>
        </w:rPr>
        <w:t xml:space="preserve">Models of species persistence as a function of habitat area that are based on empirical data will almost certainly be limited </w:t>
      </w:r>
      <w:r w:rsidR="006171AA">
        <w:rPr>
          <w:lang w:val="en-US"/>
        </w:rPr>
        <w:t>by spatial</w:t>
      </w:r>
      <w:r>
        <w:rPr>
          <w:lang w:val="en-US"/>
        </w:rPr>
        <w:t xml:space="preserve"> scale. </w:t>
      </w:r>
      <w:r w:rsidR="00323C83">
        <w:rPr>
          <w:lang w:val="en-US"/>
        </w:rPr>
        <w:t xml:space="preserve">Given that </w:t>
      </w:r>
      <w:proofErr w:type="spellStart"/>
      <w:r w:rsidR="00323C83">
        <w:rPr>
          <w:lang w:val="en-US"/>
        </w:rPr>
        <w:t>favourable</w:t>
      </w:r>
      <w:proofErr w:type="spellEnd"/>
      <w:r w:rsidR="00323C83">
        <w:rPr>
          <w:lang w:val="en-US"/>
        </w:rPr>
        <w:t xml:space="preserve"> reference areas should be specified for biogeographical regions, i</w:t>
      </w:r>
      <w:r>
        <w:rPr>
          <w:lang w:val="en-US"/>
        </w:rPr>
        <w:t xml:space="preserve">t is </w:t>
      </w:r>
      <w:r w:rsidR="00E177C1">
        <w:rPr>
          <w:lang w:val="en-US"/>
        </w:rPr>
        <w:t xml:space="preserve">therefore </w:t>
      </w:r>
      <w:r>
        <w:rPr>
          <w:lang w:val="en-US"/>
        </w:rPr>
        <w:t>required that</w:t>
      </w:r>
      <w:r w:rsidR="00E177C1">
        <w:rPr>
          <w:lang w:val="en-US"/>
        </w:rPr>
        <w:t xml:space="preserve"> the</w:t>
      </w:r>
      <w:r>
        <w:rPr>
          <w:lang w:val="en-US"/>
        </w:rPr>
        <w:t xml:space="preserve"> results from such models </w:t>
      </w:r>
      <w:r w:rsidR="006171AA">
        <w:rPr>
          <w:lang w:val="en-US"/>
        </w:rPr>
        <w:t>are</w:t>
      </w:r>
      <w:r>
        <w:rPr>
          <w:lang w:val="en-US"/>
        </w:rPr>
        <w:t xml:space="preserve"> extrapolated to the biogeographical or national scale</w:t>
      </w:r>
      <w:r w:rsidR="00323C83">
        <w:rPr>
          <w:lang w:val="en-US"/>
        </w:rPr>
        <w:t xml:space="preserve"> with caution.</w:t>
      </w:r>
      <w:r w:rsidR="00D97EBF">
        <w:rPr>
          <w:lang w:val="en-US"/>
        </w:rPr>
        <w:t xml:space="preserve"> </w:t>
      </w:r>
      <w:r>
        <w:rPr>
          <w:lang w:val="en-US"/>
        </w:rPr>
        <w:t xml:space="preserve">In </w:t>
      </w:r>
      <w:r w:rsidR="00E177C1">
        <w:rPr>
          <w:lang w:val="en-US"/>
        </w:rPr>
        <w:t>a</w:t>
      </w:r>
      <w:r>
        <w:rPr>
          <w:lang w:val="en-US"/>
        </w:rPr>
        <w:t xml:space="preserve"> draft for Guidelines</w:t>
      </w:r>
      <w:r w:rsidR="00E177C1">
        <w:rPr>
          <w:lang w:val="en-US"/>
        </w:rPr>
        <w:t xml:space="preserve"> on concepts and definitions for the next Article 17 reporting</w:t>
      </w:r>
      <w:r>
        <w:rPr>
          <w:lang w:val="en-US"/>
        </w:rPr>
        <w:t xml:space="preserve"> (</w:t>
      </w:r>
      <w:r w:rsidR="0071315B">
        <w:rPr>
          <w:lang w:val="en-US"/>
        </w:rPr>
        <w:t>DG Environment</w:t>
      </w:r>
      <w:r w:rsidR="00E177C1">
        <w:rPr>
          <w:lang w:val="en-US"/>
        </w:rPr>
        <w:t xml:space="preserve"> </w:t>
      </w:r>
      <w:r w:rsidR="0071315B" w:rsidRPr="0071315B">
        <w:rPr>
          <w:lang w:val="en-US"/>
        </w:rPr>
        <w:t>2022)</w:t>
      </w:r>
      <w:r>
        <w:rPr>
          <w:lang w:val="en-US"/>
        </w:rPr>
        <w:t xml:space="preserve">, it is suggested that the assessment of </w:t>
      </w:r>
      <w:r w:rsidR="00D97EBF">
        <w:rPr>
          <w:lang w:val="en-US"/>
        </w:rPr>
        <w:t>favorable reference</w:t>
      </w:r>
      <w:r>
        <w:rPr>
          <w:lang w:val="en-US"/>
        </w:rPr>
        <w:t xml:space="preserve"> area for many semi-natural </w:t>
      </w:r>
      <w:r w:rsidR="00E177C1">
        <w:rPr>
          <w:lang w:val="en-US"/>
        </w:rPr>
        <w:t>habitats “</w:t>
      </w:r>
      <w:r w:rsidR="00E177C1" w:rsidRPr="00E177C1">
        <w:rPr>
          <w:i/>
          <w:lang w:val="en-US"/>
        </w:rPr>
        <w:t>may require a combination of reference-based and area-based approaches</w:t>
      </w:r>
      <w:r w:rsidR="00E177C1">
        <w:rPr>
          <w:i/>
          <w:lang w:val="en-US"/>
        </w:rPr>
        <w:t>”</w:t>
      </w:r>
      <w:r w:rsidR="00E177C1">
        <w:rPr>
          <w:lang w:val="en-US"/>
        </w:rPr>
        <w:t>. Thus, c</w:t>
      </w:r>
      <w:r w:rsidR="00402039" w:rsidRPr="005B3699">
        <w:rPr>
          <w:lang w:val="en-US"/>
        </w:rPr>
        <w:t xml:space="preserve">omparisons of benchmark </w:t>
      </w:r>
      <w:proofErr w:type="gramStart"/>
      <w:r w:rsidR="00402039" w:rsidRPr="005B3699">
        <w:rPr>
          <w:lang w:val="en-US"/>
        </w:rPr>
        <w:t>estimates</w:t>
      </w:r>
      <w:proofErr w:type="gramEnd"/>
      <w:r w:rsidR="00402039" w:rsidRPr="005B3699">
        <w:rPr>
          <w:lang w:val="en-US"/>
        </w:rPr>
        <w:t xml:space="preserve"> from models of </w:t>
      </w:r>
      <w:r w:rsidR="00E177C1">
        <w:rPr>
          <w:lang w:val="en-US"/>
        </w:rPr>
        <w:t xml:space="preserve">required </w:t>
      </w:r>
      <w:r w:rsidR="00402039" w:rsidRPr="005B3699">
        <w:rPr>
          <w:lang w:val="en-US"/>
        </w:rPr>
        <w:t xml:space="preserve">habitat area </w:t>
      </w:r>
      <w:r w:rsidR="003C30F5">
        <w:rPr>
          <w:lang w:val="en-US"/>
        </w:rPr>
        <w:t>with</w:t>
      </w:r>
      <w:r w:rsidR="00402039" w:rsidRPr="005B3699">
        <w:rPr>
          <w:lang w:val="en-US"/>
        </w:rPr>
        <w:t xml:space="preserve"> historical records of land cover and location,</w:t>
      </w:r>
      <w:r w:rsidR="003C30F5">
        <w:rPr>
          <w:lang w:val="en-US"/>
        </w:rPr>
        <w:t xml:space="preserve"> </w:t>
      </w:r>
      <w:r w:rsidR="00402039" w:rsidRPr="005B3699">
        <w:rPr>
          <w:lang w:val="en-US"/>
        </w:rPr>
        <w:t xml:space="preserve">may be a promising approach for the assessment of justifiable </w:t>
      </w:r>
      <w:r w:rsidR="00574E67">
        <w:rPr>
          <w:lang w:val="en-US"/>
        </w:rPr>
        <w:t>reference areas</w:t>
      </w:r>
      <w:r w:rsidR="00402039" w:rsidRPr="005B3699">
        <w:rPr>
          <w:lang w:val="en-US"/>
        </w:rPr>
        <w:t xml:space="preserve"> of grassland habitats.</w:t>
      </w:r>
      <w:r w:rsidR="006171AA" w:rsidRPr="006171AA">
        <w:rPr>
          <w:lang w:val="en-US"/>
        </w:rPr>
        <w:t xml:space="preserve"> </w:t>
      </w:r>
    </w:p>
    <w:p w14:paraId="75CFB515" w14:textId="2ACDB42E" w:rsidR="004E4B59" w:rsidRDefault="006171AA" w:rsidP="004E4B59">
      <w:pPr>
        <w:rPr>
          <w:lang w:val="en-US"/>
        </w:rPr>
      </w:pPr>
      <w:r>
        <w:rPr>
          <w:lang w:val="en-US"/>
        </w:rPr>
        <w:t>The present models cover the total amount of grassland area in the landscape.</w:t>
      </w:r>
      <w:r w:rsidR="008C6FB1">
        <w:rPr>
          <w:lang w:val="en-US"/>
        </w:rPr>
        <w:t xml:space="preserve"> Given that </w:t>
      </w:r>
      <w:r w:rsidR="0058300D">
        <w:rPr>
          <w:lang w:val="en-US"/>
        </w:rPr>
        <w:t xml:space="preserve">several of </w:t>
      </w:r>
      <w:r w:rsidR="008C6FB1">
        <w:rPr>
          <w:lang w:val="en-US"/>
        </w:rPr>
        <w:t>the semi-natural grassland types in the Habitats Directive</w:t>
      </w:r>
      <w:r>
        <w:rPr>
          <w:lang w:val="en-US"/>
        </w:rPr>
        <w:t xml:space="preserve"> </w:t>
      </w:r>
      <w:r w:rsidR="008C6FB1">
        <w:rPr>
          <w:lang w:val="en-US"/>
        </w:rPr>
        <w:t>are ecologically quite similar and many of the study species inhabit several habitat types, this should be the realistic</w:t>
      </w:r>
      <w:r w:rsidR="008C6FB1" w:rsidRPr="008C6FB1">
        <w:rPr>
          <w:lang w:val="en-US"/>
        </w:rPr>
        <w:t xml:space="preserve"> </w:t>
      </w:r>
      <w:r w:rsidR="008C6FB1">
        <w:rPr>
          <w:lang w:val="en-US"/>
        </w:rPr>
        <w:t>approach.</w:t>
      </w:r>
      <w:r w:rsidR="0068263D">
        <w:rPr>
          <w:lang w:val="en-US"/>
        </w:rPr>
        <w:t xml:space="preserve"> Identified thresholds thus reflect the total semi-natural grassland area required.</w:t>
      </w:r>
      <w:r w:rsidR="008C6FB1">
        <w:rPr>
          <w:lang w:val="en-US"/>
        </w:rPr>
        <w:t xml:space="preserve"> However</w:t>
      </w:r>
      <w:r w:rsidR="00231EA1">
        <w:rPr>
          <w:lang w:val="en-US"/>
        </w:rPr>
        <w:t>,</w:t>
      </w:r>
      <w:r>
        <w:rPr>
          <w:lang w:val="en-US"/>
        </w:rPr>
        <w:t xml:space="preserve"> to inform how </w:t>
      </w:r>
      <w:r w:rsidR="0068263D">
        <w:rPr>
          <w:lang w:val="en-US"/>
        </w:rPr>
        <w:t>such</w:t>
      </w:r>
      <w:r>
        <w:rPr>
          <w:lang w:val="en-US"/>
        </w:rPr>
        <w:t xml:space="preserve"> thresholds may </w:t>
      </w:r>
      <w:r w:rsidR="008C6FB1">
        <w:rPr>
          <w:lang w:val="en-US"/>
        </w:rPr>
        <w:t>be allocated</w:t>
      </w:r>
      <w:r>
        <w:rPr>
          <w:lang w:val="en-US"/>
        </w:rPr>
        <w:t xml:space="preserve"> to </w:t>
      </w:r>
      <w:r w:rsidR="00244ADD">
        <w:rPr>
          <w:lang w:val="en-US"/>
        </w:rPr>
        <w:t xml:space="preserve">separate </w:t>
      </w:r>
      <w:proofErr w:type="spellStart"/>
      <w:r>
        <w:rPr>
          <w:lang w:val="en-US"/>
        </w:rPr>
        <w:t>favourable</w:t>
      </w:r>
      <w:proofErr w:type="spellEnd"/>
      <w:r>
        <w:rPr>
          <w:lang w:val="en-US"/>
        </w:rPr>
        <w:t xml:space="preserve"> reference </w:t>
      </w:r>
      <w:r w:rsidR="00244ADD">
        <w:rPr>
          <w:lang w:val="en-US"/>
        </w:rPr>
        <w:t>areas</w:t>
      </w:r>
      <w:r>
        <w:rPr>
          <w:lang w:val="en-US"/>
        </w:rPr>
        <w:t xml:space="preserve"> </w:t>
      </w:r>
      <w:r w:rsidR="00244ADD">
        <w:rPr>
          <w:lang w:val="en-US"/>
        </w:rPr>
        <w:t>specific</w:t>
      </w:r>
      <w:r>
        <w:rPr>
          <w:lang w:val="en-US"/>
        </w:rPr>
        <w:t xml:space="preserve"> for each Natura 2000 habitat type</w:t>
      </w:r>
      <w:r w:rsidR="0068263D">
        <w:rPr>
          <w:lang w:val="en-US"/>
        </w:rPr>
        <w:t>,</w:t>
      </w:r>
      <w:r w:rsidR="0068263D" w:rsidRPr="0068263D">
        <w:rPr>
          <w:lang w:val="en-US"/>
        </w:rPr>
        <w:t xml:space="preserve"> </w:t>
      </w:r>
      <w:r w:rsidR="0068263D">
        <w:rPr>
          <w:lang w:val="en-US"/>
        </w:rPr>
        <w:t>other sources of data are necessary</w:t>
      </w:r>
      <w:r>
        <w:rPr>
          <w:lang w:val="en-US"/>
        </w:rPr>
        <w:t>.</w:t>
      </w:r>
    </w:p>
    <w:p w14:paraId="3C62DDD7" w14:textId="77777777" w:rsidR="004E4B59" w:rsidRDefault="004E4B59" w:rsidP="004E4B59">
      <w:pPr>
        <w:pStyle w:val="Heading2"/>
        <w:rPr>
          <w:lang w:val="en-US"/>
        </w:rPr>
      </w:pPr>
      <w:r>
        <w:rPr>
          <w:lang w:val="en-US"/>
        </w:rPr>
        <w:t>References</w:t>
      </w:r>
    </w:p>
    <w:p w14:paraId="37E55AA5" w14:textId="77777777" w:rsidR="00E15308" w:rsidRPr="00231EA1" w:rsidRDefault="00E15308" w:rsidP="00E15308">
      <w:pPr>
        <w:spacing w:after="0"/>
        <w:ind w:left="567" w:hanging="567"/>
        <w:rPr>
          <w:sz w:val="18"/>
          <w:szCs w:val="18"/>
        </w:rPr>
      </w:pPr>
      <w:r w:rsidRPr="00231EA1">
        <w:rPr>
          <w:sz w:val="18"/>
          <w:szCs w:val="18"/>
          <w:lang w:val="en-US"/>
        </w:rPr>
        <w:t xml:space="preserve">Andersson, L., K.-O. Bergman, C. </w:t>
      </w:r>
      <w:proofErr w:type="spellStart"/>
      <w:r w:rsidRPr="00231EA1">
        <w:rPr>
          <w:sz w:val="18"/>
          <w:szCs w:val="18"/>
          <w:lang w:val="en-US"/>
        </w:rPr>
        <w:t>Hellsten</w:t>
      </w:r>
      <w:proofErr w:type="spellEnd"/>
      <w:r w:rsidRPr="00231EA1">
        <w:rPr>
          <w:sz w:val="18"/>
          <w:szCs w:val="18"/>
          <w:lang w:val="en-US"/>
        </w:rPr>
        <w:t xml:space="preserve">, &amp; H. </w:t>
      </w:r>
      <w:proofErr w:type="spellStart"/>
      <w:r w:rsidRPr="00231EA1">
        <w:rPr>
          <w:sz w:val="18"/>
          <w:szCs w:val="18"/>
          <w:lang w:val="en-US"/>
        </w:rPr>
        <w:t>Paltto</w:t>
      </w:r>
      <w:proofErr w:type="spellEnd"/>
      <w:r w:rsidRPr="00231EA1">
        <w:rPr>
          <w:sz w:val="18"/>
          <w:szCs w:val="18"/>
          <w:lang w:val="en-US"/>
        </w:rPr>
        <w:t xml:space="preserve"> Andersen. </w:t>
      </w:r>
      <w:r w:rsidRPr="00E15308">
        <w:rPr>
          <w:sz w:val="18"/>
          <w:szCs w:val="18"/>
          <w:lang w:val="en-GB"/>
        </w:rPr>
        <w:t xml:space="preserve">2019. Landscape ecological gap and functionality analysis (BRIFUNK). </w:t>
      </w:r>
      <w:r w:rsidRPr="00231EA1">
        <w:rPr>
          <w:sz w:val="18"/>
          <w:szCs w:val="18"/>
        </w:rPr>
        <w:t xml:space="preserve">Svensk botanisk tidskrift, 113: 276-293.  </w:t>
      </w:r>
    </w:p>
    <w:p w14:paraId="74D3481A" w14:textId="77777777" w:rsidR="00E15308" w:rsidRDefault="00E15308" w:rsidP="00E15308">
      <w:pPr>
        <w:spacing w:after="0"/>
        <w:ind w:left="567" w:hanging="567"/>
        <w:rPr>
          <w:sz w:val="18"/>
          <w:szCs w:val="18"/>
        </w:rPr>
      </w:pPr>
      <w:r w:rsidRPr="00E15308">
        <w:rPr>
          <w:sz w:val="18"/>
          <w:szCs w:val="18"/>
        </w:rPr>
        <w:t xml:space="preserve">Andersson, L., H. </w:t>
      </w:r>
      <w:proofErr w:type="spellStart"/>
      <w:r w:rsidRPr="00E15308">
        <w:rPr>
          <w:sz w:val="18"/>
          <w:szCs w:val="18"/>
        </w:rPr>
        <w:t>Paltto</w:t>
      </w:r>
      <w:proofErr w:type="spellEnd"/>
      <w:r w:rsidRPr="00E15308">
        <w:rPr>
          <w:sz w:val="18"/>
          <w:szCs w:val="18"/>
        </w:rPr>
        <w:t xml:space="preserve">, T. Appelqvist, &amp; C. Hellsten. 2015. Landskapsekologisk Brist- och Funktionalitetsanalys. Avseende sex olika biotoper med huvudsakligt fokus på biosfärområde Östra Vätterbranterna. Pro Natura &amp; Biosfärområde Östra Vätterbranterna. (http://www.pro-natura.net/publikat-filer/Landskapsekologisk%20Brist-%20och%20Funktionalitetsanalys.pdf). </w:t>
      </w:r>
    </w:p>
    <w:p w14:paraId="6881F751" w14:textId="77777777" w:rsidR="00A74F4A" w:rsidRDefault="00E15308" w:rsidP="00E15308">
      <w:pPr>
        <w:spacing w:after="0"/>
        <w:ind w:left="567" w:hanging="567"/>
        <w:rPr>
          <w:sz w:val="18"/>
          <w:szCs w:val="18"/>
          <w:lang w:val="en-GB"/>
        </w:rPr>
      </w:pPr>
      <w:proofErr w:type="spellStart"/>
      <w:r w:rsidRPr="00E15308">
        <w:rPr>
          <w:sz w:val="18"/>
          <w:szCs w:val="18"/>
          <w:lang w:val="en-GB"/>
        </w:rPr>
        <w:t>Aufftret</w:t>
      </w:r>
      <w:proofErr w:type="spellEnd"/>
      <w:r w:rsidRPr="00E15308">
        <w:rPr>
          <w:sz w:val="18"/>
          <w:szCs w:val="18"/>
          <w:lang w:val="en-GB"/>
        </w:rPr>
        <w:t>, A.G., A. Kimberley, J. Plue, &amp; E. Waldén. 2018. Super-regional land-use change and effects on the grassland specialist flora. Nature communications, 9: 3464.</w:t>
      </w:r>
    </w:p>
    <w:p w14:paraId="5CF9D197" w14:textId="77777777" w:rsidR="00E15308" w:rsidRDefault="00E15308" w:rsidP="00A74F4A">
      <w:pPr>
        <w:spacing w:after="0"/>
        <w:ind w:left="567" w:hanging="567"/>
        <w:rPr>
          <w:sz w:val="18"/>
          <w:szCs w:val="18"/>
          <w:lang w:val="en-GB"/>
        </w:rPr>
      </w:pPr>
      <w:r w:rsidRPr="00E15308">
        <w:rPr>
          <w:sz w:val="18"/>
          <w:szCs w:val="18"/>
          <w:lang w:val="en-GB"/>
        </w:rPr>
        <w:t xml:space="preserve">Baguette, M., &amp; V. Stevens. 2013. Predicting minimum area requirements of butterflies using life-history traits. Journal of insect conservation, 17: 645–652. </w:t>
      </w:r>
    </w:p>
    <w:p w14:paraId="76EA6EA9" w14:textId="77777777" w:rsidR="00E15308" w:rsidRPr="00231EA1" w:rsidRDefault="00E15308" w:rsidP="00A74F4A">
      <w:pPr>
        <w:spacing w:after="0"/>
        <w:ind w:left="567" w:hanging="567"/>
        <w:rPr>
          <w:sz w:val="18"/>
          <w:szCs w:val="18"/>
          <w:lang w:val="en-US"/>
        </w:rPr>
      </w:pPr>
      <w:r w:rsidRPr="001C2005">
        <w:rPr>
          <w:sz w:val="18"/>
          <w:lang w:val="en-US"/>
        </w:rPr>
        <w:t xml:space="preserve">Bergman, K-O., V. Johansson, &amp; L. Westerberg. </w:t>
      </w:r>
      <w:r>
        <w:rPr>
          <w:sz w:val="18"/>
          <w:szCs w:val="18"/>
        </w:rPr>
        <w:t xml:space="preserve">2022. </w:t>
      </w:r>
      <w:r w:rsidRPr="00E15308">
        <w:rPr>
          <w:sz w:val="18"/>
          <w:szCs w:val="18"/>
        </w:rPr>
        <w:t>Tröskelvärden för mängden habitat för arter i naturbetesmarker</w:t>
      </w:r>
      <w:r>
        <w:rPr>
          <w:sz w:val="18"/>
          <w:szCs w:val="18"/>
        </w:rPr>
        <w:t xml:space="preserve">. </w:t>
      </w:r>
      <w:proofErr w:type="spellStart"/>
      <w:r w:rsidR="00DD37AC" w:rsidRPr="00DD37AC">
        <w:rPr>
          <w:sz w:val="18"/>
          <w:szCs w:val="18"/>
          <w:lang w:val="en-US"/>
        </w:rPr>
        <w:t>J</w:t>
      </w:r>
      <w:r w:rsidR="00DD37AC">
        <w:rPr>
          <w:sz w:val="18"/>
          <w:szCs w:val="18"/>
          <w:lang w:val="en-US"/>
        </w:rPr>
        <w:t>ordbruksverket</w:t>
      </w:r>
      <w:proofErr w:type="spellEnd"/>
      <w:r w:rsidR="00DD37AC">
        <w:rPr>
          <w:sz w:val="18"/>
          <w:szCs w:val="18"/>
          <w:lang w:val="en-US"/>
        </w:rPr>
        <w:t xml:space="preserve">. </w:t>
      </w:r>
      <w:r w:rsidRPr="00231EA1">
        <w:rPr>
          <w:i/>
          <w:sz w:val="18"/>
          <w:szCs w:val="18"/>
          <w:lang w:val="en-US"/>
        </w:rPr>
        <w:t>Unpublished report</w:t>
      </w:r>
      <w:r w:rsidRPr="00231EA1">
        <w:rPr>
          <w:sz w:val="18"/>
          <w:szCs w:val="18"/>
          <w:lang w:val="en-US"/>
        </w:rPr>
        <w:t xml:space="preserve">. </w:t>
      </w:r>
    </w:p>
    <w:p w14:paraId="1AA43D50" w14:textId="77777777" w:rsidR="00A74F4A" w:rsidRDefault="00A74F4A" w:rsidP="00A74F4A">
      <w:pPr>
        <w:spacing w:after="0"/>
        <w:ind w:left="567" w:hanging="567"/>
        <w:rPr>
          <w:sz w:val="18"/>
          <w:szCs w:val="18"/>
          <w:lang w:val="en-GB"/>
        </w:rPr>
      </w:pPr>
      <w:r w:rsidRPr="003D02C0">
        <w:rPr>
          <w:sz w:val="18"/>
          <w:szCs w:val="18"/>
          <w:lang w:val="en-GB"/>
        </w:rPr>
        <w:t xml:space="preserve">Chamberlain, D.E., R.J. Fuller, R.G.H. Bunce, J.C. Duckworth, &amp; M. </w:t>
      </w:r>
      <w:proofErr w:type="spellStart"/>
      <w:r w:rsidRPr="003D02C0">
        <w:rPr>
          <w:sz w:val="18"/>
          <w:szCs w:val="18"/>
          <w:lang w:val="en-GB"/>
        </w:rPr>
        <w:t>Shrubb</w:t>
      </w:r>
      <w:proofErr w:type="spellEnd"/>
      <w:r w:rsidRPr="003D02C0">
        <w:rPr>
          <w:sz w:val="18"/>
          <w:szCs w:val="18"/>
          <w:lang w:val="en-GB"/>
        </w:rPr>
        <w:t>. 2000. Changes in the abundance of farmland birds in relation to the timing of agricultural intensification in England and Wales. Journal of applied ecology 37: 771–788.</w:t>
      </w:r>
    </w:p>
    <w:p w14:paraId="29D0D98A" w14:textId="77777777" w:rsidR="00E15308" w:rsidRDefault="00E15308" w:rsidP="00A74F4A">
      <w:pPr>
        <w:spacing w:after="0"/>
        <w:ind w:left="567" w:hanging="567"/>
        <w:rPr>
          <w:sz w:val="18"/>
          <w:szCs w:val="18"/>
          <w:lang w:val="en-GB"/>
        </w:rPr>
      </w:pPr>
      <w:r>
        <w:rPr>
          <w:sz w:val="18"/>
          <w:szCs w:val="18"/>
          <w:lang w:val="en-GB"/>
        </w:rPr>
        <w:t>Cousins, S.A.O. 2009</w:t>
      </w:r>
      <w:r w:rsidRPr="00E15308">
        <w:rPr>
          <w:sz w:val="18"/>
          <w:szCs w:val="18"/>
          <w:lang w:val="en-GB"/>
        </w:rPr>
        <w:t>. Extinction debt in fragmented grasslands: paid or not? Journal of Vegetation Science, 20: 3-7.</w:t>
      </w:r>
    </w:p>
    <w:p w14:paraId="4C3654CE" w14:textId="06887571" w:rsidR="00A74F4A" w:rsidRDefault="00A74F4A" w:rsidP="00A74F4A">
      <w:pPr>
        <w:spacing w:after="0"/>
        <w:ind w:left="567" w:hanging="567"/>
        <w:rPr>
          <w:sz w:val="18"/>
          <w:szCs w:val="18"/>
          <w:lang w:val="en-GB"/>
        </w:rPr>
      </w:pPr>
      <w:r w:rsidRPr="00E15308">
        <w:rPr>
          <w:sz w:val="18"/>
          <w:szCs w:val="18"/>
          <w:lang w:val="en-US"/>
        </w:rPr>
        <w:t xml:space="preserve">Cousins, S.A.O., A.G. Auffret, J. Lindgren, &amp; L. </w:t>
      </w:r>
      <w:proofErr w:type="spellStart"/>
      <w:r w:rsidRPr="00E15308">
        <w:rPr>
          <w:sz w:val="18"/>
          <w:szCs w:val="18"/>
          <w:lang w:val="en-US"/>
        </w:rPr>
        <w:t>Tränk</w:t>
      </w:r>
      <w:proofErr w:type="spellEnd"/>
      <w:r w:rsidRPr="00E15308">
        <w:rPr>
          <w:sz w:val="18"/>
          <w:szCs w:val="18"/>
          <w:lang w:val="en-US"/>
        </w:rPr>
        <w:t xml:space="preserve">. </w:t>
      </w:r>
      <w:r w:rsidRPr="00A74F4A">
        <w:rPr>
          <w:sz w:val="18"/>
          <w:szCs w:val="18"/>
          <w:lang w:val="en-GB"/>
        </w:rPr>
        <w:t xml:space="preserve">2015. Regional-scale land-cover change during the 20th century and its consequences for biodiversity. </w:t>
      </w:r>
      <w:proofErr w:type="spellStart"/>
      <w:r w:rsidRPr="00A74F4A">
        <w:rPr>
          <w:sz w:val="18"/>
          <w:szCs w:val="18"/>
          <w:lang w:val="en-GB"/>
        </w:rPr>
        <w:t>Ambio</w:t>
      </w:r>
      <w:proofErr w:type="spellEnd"/>
      <w:r w:rsidRPr="00A74F4A">
        <w:rPr>
          <w:sz w:val="18"/>
          <w:szCs w:val="18"/>
          <w:lang w:val="en-GB"/>
        </w:rPr>
        <w:t>, 44: S17-S27.</w:t>
      </w:r>
    </w:p>
    <w:p w14:paraId="3C0E2ED7" w14:textId="200D5C8A" w:rsidR="00A877A3" w:rsidRDefault="00A877A3" w:rsidP="00A74F4A">
      <w:pPr>
        <w:spacing w:after="0"/>
        <w:ind w:left="567" w:hanging="567"/>
        <w:rPr>
          <w:sz w:val="18"/>
          <w:szCs w:val="18"/>
          <w:lang w:val="en-GB"/>
        </w:rPr>
      </w:pPr>
      <w:r>
        <w:rPr>
          <w:sz w:val="18"/>
          <w:szCs w:val="18"/>
          <w:lang w:val="en-GB"/>
        </w:rPr>
        <w:t xml:space="preserve">Cousins, S.A.O., J. Lindgren, J. Plue, I. Brown, &amp; A. Kimberley. 2022. </w:t>
      </w:r>
      <w:proofErr w:type="spellStart"/>
      <w:r w:rsidRPr="00A877A3">
        <w:rPr>
          <w:sz w:val="18"/>
          <w:szCs w:val="18"/>
          <w:lang w:val="en-GB"/>
        </w:rPr>
        <w:t>Landskapsindikatorer</w:t>
      </w:r>
      <w:proofErr w:type="spellEnd"/>
      <w:r w:rsidRPr="00A877A3">
        <w:rPr>
          <w:sz w:val="18"/>
          <w:szCs w:val="18"/>
          <w:lang w:val="en-GB"/>
        </w:rPr>
        <w:t xml:space="preserve"> </w:t>
      </w:r>
      <w:proofErr w:type="spellStart"/>
      <w:r w:rsidRPr="00A877A3">
        <w:rPr>
          <w:sz w:val="18"/>
          <w:szCs w:val="18"/>
          <w:lang w:val="en-GB"/>
        </w:rPr>
        <w:t>för</w:t>
      </w:r>
      <w:proofErr w:type="spellEnd"/>
      <w:r w:rsidRPr="00A877A3">
        <w:rPr>
          <w:sz w:val="18"/>
          <w:szCs w:val="18"/>
          <w:lang w:val="en-GB"/>
        </w:rPr>
        <w:t xml:space="preserve"> </w:t>
      </w:r>
      <w:proofErr w:type="spellStart"/>
      <w:r w:rsidRPr="00A877A3">
        <w:rPr>
          <w:sz w:val="18"/>
          <w:szCs w:val="18"/>
          <w:lang w:val="en-GB"/>
        </w:rPr>
        <w:t>biologisk</w:t>
      </w:r>
      <w:proofErr w:type="spellEnd"/>
      <w:r w:rsidRPr="00A877A3">
        <w:rPr>
          <w:sz w:val="18"/>
          <w:szCs w:val="18"/>
          <w:lang w:val="en-GB"/>
        </w:rPr>
        <w:t xml:space="preserve"> </w:t>
      </w:r>
      <w:proofErr w:type="spellStart"/>
      <w:r w:rsidRPr="00A877A3">
        <w:rPr>
          <w:sz w:val="18"/>
          <w:szCs w:val="18"/>
          <w:lang w:val="en-GB"/>
        </w:rPr>
        <w:t>mångfald</w:t>
      </w:r>
      <w:proofErr w:type="spellEnd"/>
      <w:r>
        <w:rPr>
          <w:sz w:val="18"/>
          <w:szCs w:val="18"/>
          <w:lang w:val="en-GB"/>
        </w:rPr>
        <w:t xml:space="preserve">. Rapport 7064. </w:t>
      </w:r>
      <w:proofErr w:type="spellStart"/>
      <w:r>
        <w:rPr>
          <w:sz w:val="18"/>
          <w:szCs w:val="18"/>
          <w:lang w:val="en-GB"/>
        </w:rPr>
        <w:t>Naturvårdsverket</w:t>
      </w:r>
      <w:proofErr w:type="spellEnd"/>
      <w:r>
        <w:rPr>
          <w:sz w:val="18"/>
          <w:szCs w:val="18"/>
          <w:lang w:val="en-GB"/>
        </w:rPr>
        <w:t xml:space="preserve">.  </w:t>
      </w:r>
    </w:p>
    <w:p w14:paraId="5B603C39" w14:textId="77777777" w:rsidR="0071315B" w:rsidRPr="00231EA1" w:rsidRDefault="0071315B" w:rsidP="00A74F4A">
      <w:pPr>
        <w:spacing w:after="0"/>
        <w:ind w:left="567" w:hanging="567"/>
        <w:rPr>
          <w:sz w:val="18"/>
          <w:szCs w:val="18"/>
        </w:rPr>
      </w:pPr>
      <w:r w:rsidRPr="00231EA1">
        <w:rPr>
          <w:sz w:val="18"/>
          <w:szCs w:val="18"/>
          <w:lang w:val="en-US"/>
        </w:rPr>
        <w:t xml:space="preserve">DG Environment. </w:t>
      </w:r>
      <w:r w:rsidRPr="0071315B">
        <w:rPr>
          <w:sz w:val="18"/>
          <w:szCs w:val="18"/>
          <w:lang w:val="en-US"/>
        </w:rPr>
        <w:t>2022. Reporting under Article 17 of the Habitats Directive: Explanatory notes and guidelines for the period 201</w:t>
      </w:r>
      <w:r>
        <w:rPr>
          <w:sz w:val="18"/>
          <w:szCs w:val="18"/>
          <w:lang w:val="en-US"/>
        </w:rPr>
        <w:t>9</w:t>
      </w:r>
      <w:r w:rsidRPr="0071315B">
        <w:rPr>
          <w:sz w:val="18"/>
          <w:szCs w:val="18"/>
          <w:lang w:val="en-US"/>
        </w:rPr>
        <w:t>-20</w:t>
      </w:r>
      <w:r>
        <w:rPr>
          <w:sz w:val="18"/>
          <w:szCs w:val="18"/>
          <w:lang w:val="en-US"/>
        </w:rPr>
        <w:t xml:space="preserve">24. </w:t>
      </w:r>
      <w:r w:rsidRPr="00231EA1">
        <w:rPr>
          <w:i/>
          <w:sz w:val="18"/>
          <w:szCs w:val="18"/>
        </w:rPr>
        <w:t>Unpublished draft</w:t>
      </w:r>
      <w:r w:rsidRPr="00231EA1">
        <w:rPr>
          <w:sz w:val="18"/>
          <w:szCs w:val="18"/>
        </w:rPr>
        <w:t>.</w:t>
      </w:r>
    </w:p>
    <w:p w14:paraId="15F34B4C" w14:textId="77777777" w:rsidR="00A74F4A" w:rsidRPr="00231EA1" w:rsidRDefault="00A74F4A" w:rsidP="00A74F4A">
      <w:pPr>
        <w:spacing w:after="0"/>
        <w:ind w:left="567" w:hanging="567"/>
        <w:rPr>
          <w:sz w:val="18"/>
          <w:szCs w:val="18"/>
          <w:lang w:val="en-US"/>
        </w:rPr>
      </w:pPr>
      <w:r w:rsidRPr="00A74F4A">
        <w:rPr>
          <w:sz w:val="18"/>
          <w:szCs w:val="18"/>
        </w:rPr>
        <w:t xml:space="preserve">Eide, W., K. Ahrné, U. Bjelke, &amp; S. Nordström (eds.). 2020. Tillstånd och trender för arter och deras livsmiljöer – rödlistade arter i Sverige 2020. </w:t>
      </w:r>
      <w:r w:rsidRPr="00231EA1">
        <w:rPr>
          <w:sz w:val="18"/>
          <w:szCs w:val="18"/>
          <w:lang w:val="en-US"/>
        </w:rPr>
        <w:t>SLU Artdatabanken, Uppsala.</w:t>
      </w:r>
    </w:p>
    <w:p w14:paraId="319C6E5D" w14:textId="77777777" w:rsidR="0071315B" w:rsidRPr="00231EA1" w:rsidRDefault="0071315B" w:rsidP="00A74F4A">
      <w:pPr>
        <w:spacing w:after="0"/>
        <w:ind w:left="567" w:hanging="567"/>
        <w:rPr>
          <w:sz w:val="18"/>
          <w:szCs w:val="18"/>
          <w:lang w:val="en-US"/>
        </w:rPr>
      </w:pPr>
      <w:proofErr w:type="spellStart"/>
      <w:r w:rsidRPr="0071315B">
        <w:rPr>
          <w:sz w:val="18"/>
          <w:szCs w:val="18"/>
          <w:lang w:val="en-US"/>
        </w:rPr>
        <w:t>Hanski</w:t>
      </w:r>
      <w:proofErr w:type="spellEnd"/>
      <w:r w:rsidRPr="0071315B">
        <w:rPr>
          <w:sz w:val="18"/>
          <w:szCs w:val="18"/>
          <w:lang w:val="en-US"/>
        </w:rPr>
        <w:t xml:space="preserve">, I., &amp; O. </w:t>
      </w:r>
      <w:proofErr w:type="spellStart"/>
      <w:r w:rsidRPr="0071315B">
        <w:rPr>
          <w:sz w:val="18"/>
          <w:szCs w:val="18"/>
          <w:lang w:val="en-US"/>
        </w:rPr>
        <w:t>Ovaskainen</w:t>
      </w:r>
      <w:proofErr w:type="spellEnd"/>
      <w:r w:rsidRPr="0071315B">
        <w:rPr>
          <w:sz w:val="18"/>
          <w:szCs w:val="18"/>
          <w:lang w:val="en-US"/>
        </w:rPr>
        <w:t xml:space="preserve">. 2002. Extinction debt at extinction threshold. </w:t>
      </w:r>
      <w:r w:rsidRPr="00231EA1">
        <w:rPr>
          <w:sz w:val="18"/>
          <w:szCs w:val="18"/>
          <w:lang w:val="en-US"/>
        </w:rPr>
        <w:t xml:space="preserve">Conservation biology, 16: 666-673. </w:t>
      </w:r>
    </w:p>
    <w:p w14:paraId="5942B1C3" w14:textId="77777777" w:rsidR="00E15308" w:rsidRPr="00E15308" w:rsidRDefault="00E15308" w:rsidP="00A74F4A">
      <w:pPr>
        <w:spacing w:after="0"/>
        <w:ind w:left="567" w:hanging="567"/>
        <w:rPr>
          <w:sz w:val="18"/>
          <w:szCs w:val="18"/>
          <w:lang w:val="en-US"/>
        </w:rPr>
      </w:pPr>
      <w:r w:rsidRPr="00231EA1">
        <w:rPr>
          <w:sz w:val="18"/>
          <w:szCs w:val="18"/>
          <w:lang w:val="en-US"/>
        </w:rPr>
        <w:t xml:space="preserve">Helm, A., I. </w:t>
      </w:r>
      <w:proofErr w:type="spellStart"/>
      <w:r w:rsidRPr="00231EA1">
        <w:rPr>
          <w:sz w:val="18"/>
          <w:szCs w:val="18"/>
          <w:lang w:val="en-US"/>
        </w:rPr>
        <w:t>Hanski</w:t>
      </w:r>
      <w:proofErr w:type="spellEnd"/>
      <w:r w:rsidRPr="00231EA1">
        <w:rPr>
          <w:sz w:val="18"/>
          <w:szCs w:val="18"/>
          <w:lang w:val="en-US"/>
        </w:rPr>
        <w:t xml:space="preserve">, &amp; M. </w:t>
      </w:r>
      <w:proofErr w:type="spellStart"/>
      <w:r w:rsidRPr="00231EA1">
        <w:rPr>
          <w:sz w:val="18"/>
          <w:szCs w:val="18"/>
          <w:lang w:val="en-US"/>
        </w:rPr>
        <w:t>Pärtel</w:t>
      </w:r>
      <w:proofErr w:type="spellEnd"/>
      <w:r w:rsidRPr="00231EA1">
        <w:rPr>
          <w:sz w:val="18"/>
          <w:szCs w:val="18"/>
          <w:lang w:val="en-US"/>
        </w:rPr>
        <w:t xml:space="preserve">. </w:t>
      </w:r>
      <w:r w:rsidRPr="00E15308">
        <w:rPr>
          <w:sz w:val="18"/>
          <w:szCs w:val="18"/>
          <w:lang w:val="en-US"/>
        </w:rPr>
        <w:t>2006. Slow response of plant species richness to habitat loss and fragmentation. Ecology letters, 9: 72-77.</w:t>
      </w:r>
    </w:p>
    <w:p w14:paraId="6EAA66B8" w14:textId="77777777" w:rsidR="00A74F4A" w:rsidRPr="003D02C0" w:rsidRDefault="00A74F4A" w:rsidP="00A74F4A">
      <w:pPr>
        <w:spacing w:after="0"/>
        <w:ind w:left="567" w:hanging="567"/>
        <w:rPr>
          <w:sz w:val="18"/>
          <w:szCs w:val="18"/>
          <w:lang w:val="en-GB"/>
        </w:rPr>
      </w:pPr>
      <w:proofErr w:type="spellStart"/>
      <w:r w:rsidRPr="00E15308">
        <w:rPr>
          <w:sz w:val="18"/>
          <w:szCs w:val="18"/>
          <w:lang w:val="en-US"/>
        </w:rPr>
        <w:t>Hooftman</w:t>
      </w:r>
      <w:proofErr w:type="spellEnd"/>
      <w:r w:rsidRPr="00E15308">
        <w:rPr>
          <w:sz w:val="18"/>
          <w:szCs w:val="18"/>
          <w:lang w:val="en-US"/>
        </w:rPr>
        <w:t xml:space="preserve">, D.A.P., B. Edwards, &amp; J.M. Bullock. </w:t>
      </w:r>
      <w:r w:rsidRPr="00A74F4A">
        <w:rPr>
          <w:sz w:val="18"/>
          <w:szCs w:val="18"/>
          <w:lang w:val="en-GB"/>
        </w:rPr>
        <w:t xml:space="preserve">2016. Reductions in connectivity and habitat quality drive local extinctions in a plant diversity hotspot. </w:t>
      </w:r>
      <w:proofErr w:type="spellStart"/>
      <w:r w:rsidRPr="00A74F4A">
        <w:rPr>
          <w:sz w:val="18"/>
          <w:szCs w:val="18"/>
          <w:lang w:val="en-GB"/>
        </w:rPr>
        <w:t>Ecography</w:t>
      </w:r>
      <w:proofErr w:type="spellEnd"/>
      <w:r w:rsidRPr="00A74F4A">
        <w:rPr>
          <w:sz w:val="18"/>
          <w:szCs w:val="18"/>
          <w:lang w:val="en-GB"/>
        </w:rPr>
        <w:t>, 39: 583-592.</w:t>
      </w:r>
    </w:p>
    <w:p w14:paraId="1A339BBB" w14:textId="77777777" w:rsidR="00A74F4A" w:rsidRDefault="00A74F4A" w:rsidP="00A74F4A">
      <w:pPr>
        <w:spacing w:after="0"/>
        <w:ind w:left="567" w:hanging="567"/>
        <w:rPr>
          <w:sz w:val="18"/>
          <w:szCs w:val="18"/>
          <w:lang w:val="en-US"/>
        </w:rPr>
      </w:pPr>
      <w:r w:rsidRPr="00A74F4A">
        <w:rPr>
          <w:sz w:val="18"/>
          <w:szCs w:val="18"/>
          <w:lang w:val="en-US"/>
        </w:rPr>
        <w:t xml:space="preserve">Jiang, M., J.M. Bullock, &amp; D.A.P. </w:t>
      </w:r>
      <w:proofErr w:type="spellStart"/>
      <w:r w:rsidRPr="00A74F4A">
        <w:rPr>
          <w:sz w:val="18"/>
          <w:szCs w:val="18"/>
          <w:lang w:val="en-US"/>
        </w:rPr>
        <w:t>Hooftman</w:t>
      </w:r>
      <w:proofErr w:type="spellEnd"/>
      <w:r w:rsidRPr="00A74F4A">
        <w:rPr>
          <w:sz w:val="18"/>
          <w:szCs w:val="18"/>
          <w:lang w:val="en-US"/>
        </w:rPr>
        <w:t>. 2013. Mapping ecosystem service and biodiversity changes over 70 years in a rural English county. Journal of applied ecology, 50: 841–850.</w:t>
      </w:r>
    </w:p>
    <w:p w14:paraId="48EA0437" w14:textId="77777777" w:rsidR="00E15308" w:rsidRPr="00231EA1" w:rsidRDefault="00E15308" w:rsidP="00A74F4A">
      <w:pPr>
        <w:spacing w:after="0"/>
        <w:ind w:left="567" w:hanging="567"/>
        <w:rPr>
          <w:sz w:val="18"/>
          <w:szCs w:val="18"/>
        </w:rPr>
      </w:pPr>
      <w:r w:rsidRPr="00E15308">
        <w:rPr>
          <w:sz w:val="18"/>
          <w:szCs w:val="18"/>
          <w:lang w:val="en-US"/>
        </w:rPr>
        <w:t xml:space="preserve">Krauss, J., </w:t>
      </w:r>
      <w:proofErr w:type="spellStart"/>
      <w:r w:rsidRPr="00E15308">
        <w:rPr>
          <w:sz w:val="18"/>
          <w:szCs w:val="18"/>
          <w:lang w:val="en-US"/>
        </w:rPr>
        <w:t>R.Bommarco</w:t>
      </w:r>
      <w:proofErr w:type="spellEnd"/>
      <w:r w:rsidRPr="00E15308">
        <w:rPr>
          <w:sz w:val="18"/>
          <w:szCs w:val="18"/>
          <w:lang w:val="en-US"/>
        </w:rPr>
        <w:t xml:space="preserve">, M. Guardiola, R.K. Heikkinen, A. Helm, M. </w:t>
      </w:r>
      <w:proofErr w:type="spellStart"/>
      <w:r w:rsidRPr="00E15308">
        <w:rPr>
          <w:sz w:val="18"/>
          <w:szCs w:val="18"/>
          <w:lang w:val="en-US"/>
        </w:rPr>
        <w:t>Kuussaari</w:t>
      </w:r>
      <w:proofErr w:type="spellEnd"/>
      <w:r w:rsidRPr="00E15308">
        <w:rPr>
          <w:sz w:val="18"/>
          <w:szCs w:val="18"/>
          <w:lang w:val="en-US"/>
        </w:rPr>
        <w:t xml:space="preserve">, R. Lindborg, E. Öckinger, M. </w:t>
      </w:r>
      <w:proofErr w:type="spellStart"/>
      <w:r w:rsidRPr="00E15308">
        <w:rPr>
          <w:sz w:val="18"/>
          <w:szCs w:val="18"/>
          <w:lang w:val="en-US"/>
        </w:rPr>
        <w:t>Pärtel</w:t>
      </w:r>
      <w:proofErr w:type="spellEnd"/>
      <w:r w:rsidRPr="00E15308">
        <w:rPr>
          <w:sz w:val="18"/>
          <w:szCs w:val="18"/>
          <w:lang w:val="en-US"/>
        </w:rPr>
        <w:t xml:space="preserve">, J. Pino, J. </w:t>
      </w:r>
      <w:proofErr w:type="spellStart"/>
      <w:r w:rsidRPr="00E15308">
        <w:rPr>
          <w:sz w:val="18"/>
          <w:szCs w:val="18"/>
          <w:lang w:val="en-US"/>
        </w:rPr>
        <w:t>Pöyry</w:t>
      </w:r>
      <w:proofErr w:type="spellEnd"/>
      <w:r w:rsidRPr="00E15308">
        <w:rPr>
          <w:sz w:val="18"/>
          <w:szCs w:val="18"/>
          <w:lang w:val="en-US"/>
        </w:rPr>
        <w:t xml:space="preserve">, K.M. </w:t>
      </w:r>
      <w:proofErr w:type="spellStart"/>
      <w:r w:rsidRPr="00E15308">
        <w:rPr>
          <w:sz w:val="18"/>
          <w:szCs w:val="18"/>
          <w:lang w:val="en-US"/>
        </w:rPr>
        <w:t>Raatikainen</w:t>
      </w:r>
      <w:proofErr w:type="spellEnd"/>
      <w:r w:rsidRPr="00E15308">
        <w:rPr>
          <w:sz w:val="18"/>
          <w:szCs w:val="18"/>
          <w:lang w:val="en-US"/>
        </w:rPr>
        <w:t xml:space="preserve">, A. Sang, C. </w:t>
      </w:r>
      <w:proofErr w:type="spellStart"/>
      <w:r w:rsidRPr="00E15308">
        <w:rPr>
          <w:sz w:val="18"/>
          <w:szCs w:val="18"/>
          <w:lang w:val="en-US"/>
        </w:rPr>
        <w:t>Stefanescu</w:t>
      </w:r>
      <w:proofErr w:type="spellEnd"/>
      <w:r w:rsidRPr="00E15308">
        <w:rPr>
          <w:sz w:val="18"/>
          <w:szCs w:val="18"/>
          <w:lang w:val="en-US"/>
        </w:rPr>
        <w:t xml:space="preserve">, </w:t>
      </w:r>
      <w:proofErr w:type="spellStart"/>
      <w:r w:rsidRPr="00E15308">
        <w:rPr>
          <w:sz w:val="18"/>
          <w:szCs w:val="18"/>
          <w:lang w:val="en-US"/>
        </w:rPr>
        <w:t>T.Teder</w:t>
      </w:r>
      <w:proofErr w:type="spellEnd"/>
      <w:r w:rsidRPr="00E15308">
        <w:rPr>
          <w:sz w:val="18"/>
          <w:szCs w:val="18"/>
          <w:lang w:val="en-US"/>
        </w:rPr>
        <w:t xml:space="preserve">, M. Zobel, &amp; I. </w:t>
      </w:r>
      <w:proofErr w:type="spellStart"/>
      <w:r w:rsidRPr="00E15308">
        <w:rPr>
          <w:sz w:val="18"/>
          <w:szCs w:val="18"/>
          <w:lang w:val="en-US"/>
        </w:rPr>
        <w:t>Steffan-Dewenter</w:t>
      </w:r>
      <w:proofErr w:type="spellEnd"/>
      <w:r w:rsidRPr="00E15308">
        <w:rPr>
          <w:sz w:val="18"/>
          <w:szCs w:val="18"/>
          <w:lang w:val="en-US"/>
        </w:rPr>
        <w:t xml:space="preserve">. 2010. Habitat fragmentation causes immediate and </w:t>
      </w:r>
      <w:proofErr w:type="spellStart"/>
      <w:r w:rsidRPr="00E15308">
        <w:rPr>
          <w:sz w:val="18"/>
          <w:szCs w:val="18"/>
          <w:lang w:val="en-US"/>
        </w:rPr>
        <w:t>timedelayed</w:t>
      </w:r>
      <w:proofErr w:type="spellEnd"/>
      <w:r w:rsidRPr="00E15308">
        <w:rPr>
          <w:sz w:val="18"/>
          <w:szCs w:val="18"/>
          <w:lang w:val="en-US"/>
        </w:rPr>
        <w:t xml:space="preserve"> biodiversity loss at different trophic levels. </w:t>
      </w:r>
      <w:r w:rsidRPr="00231EA1">
        <w:rPr>
          <w:sz w:val="18"/>
          <w:szCs w:val="18"/>
        </w:rPr>
        <w:t>Ecology letters, 13: 597-605.</w:t>
      </w:r>
    </w:p>
    <w:p w14:paraId="54B07D0F" w14:textId="77777777" w:rsidR="00E15308" w:rsidRPr="00E15308" w:rsidRDefault="00E15308" w:rsidP="00E15308">
      <w:pPr>
        <w:spacing w:after="0"/>
        <w:ind w:left="567" w:hanging="567"/>
        <w:rPr>
          <w:sz w:val="18"/>
          <w:szCs w:val="18"/>
        </w:rPr>
      </w:pPr>
      <w:r w:rsidRPr="00E15308">
        <w:rPr>
          <w:sz w:val="18"/>
          <w:szCs w:val="18"/>
        </w:rPr>
        <w:t xml:space="preserve">Lundin, A., </w:t>
      </w:r>
      <w:r>
        <w:rPr>
          <w:sz w:val="18"/>
          <w:szCs w:val="18"/>
        </w:rPr>
        <w:t xml:space="preserve">M. </w:t>
      </w:r>
      <w:r w:rsidRPr="00E15308">
        <w:rPr>
          <w:sz w:val="18"/>
          <w:szCs w:val="18"/>
        </w:rPr>
        <w:t xml:space="preserve">Kindström, &amp; </w:t>
      </w:r>
      <w:r>
        <w:rPr>
          <w:sz w:val="18"/>
          <w:szCs w:val="18"/>
        </w:rPr>
        <w:t xml:space="preserve">A. </w:t>
      </w:r>
      <w:r w:rsidRPr="00E15308">
        <w:rPr>
          <w:sz w:val="18"/>
          <w:szCs w:val="18"/>
        </w:rPr>
        <w:t>Glimskär. 2016. Metodik för regional miljöövervakning av gräsmarker och våtmarker 2015-2020.</w:t>
      </w:r>
      <w:r w:rsidRPr="00E15308">
        <w:t xml:space="preserve"> </w:t>
      </w:r>
      <w:r w:rsidRPr="00E15308">
        <w:rPr>
          <w:sz w:val="18"/>
          <w:szCs w:val="18"/>
        </w:rPr>
        <w:t>Länsstyrelsen i Örebro län</w:t>
      </w:r>
      <w:r>
        <w:rPr>
          <w:sz w:val="18"/>
          <w:szCs w:val="18"/>
        </w:rPr>
        <w:t>, p</w:t>
      </w:r>
      <w:r w:rsidRPr="00E15308">
        <w:rPr>
          <w:sz w:val="18"/>
          <w:szCs w:val="18"/>
        </w:rPr>
        <w:t>ublikationsnummer: 2016:21</w:t>
      </w:r>
      <w:r>
        <w:rPr>
          <w:sz w:val="18"/>
          <w:szCs w:val="18"/>
        </w:rPr>
        <w:t>.</w:t>
      </w:r>
    </w:p>
    <w:p w14:paraId="11BA8271" w14:textId="77777777" w:rsidR="00A74F4A" w:rsidRDefault="00A74F4A" w:rsidP="00A74F4A">
      <w:pPr>
        <w:spacing w:after="0"/>
        <w:ind w:left="567" w:hanging="567"/>
        <w:rPr>
          <w:sz w:val="18"/>
          <w:szCs w:val="18"/>
          <w:lang w:val="en-US"/>
        </w:rPr>
      </w:pPr>
      <w:r w:rsidRPr="00E15308">
        <w:rPr>
          <w:sz w:val="18"/>
          <w:szCs w:val="18"/>
        </w:rPr>
        <w:lastRenderedPageBreak/>
        <w:t xml:space="preserve">Luoto, M., S. </w:t>
      </w:r>
      <w:proofErr w:type="spellStart"/>
      <w:r w:rsidRPr="00E15308">
        <w:rPr>
          <w:sz w:val="18"/>
          <w:szCs w:val="18"/>
        </w:rPr>
        <w:t>Rekolainen</w:t>
      </w:r>
      <w:proofErr w:type="spellEnd"/>
      <w:r w:rsidRPr="00E15308">
        <w:rPr>
          <w:sz w:val="18"/>
          <w:szCs w:val="18"/>
        </w:rPr>
        <w:t xml:space="preserve">, J. </w:t>
      </w:r>
      <w:proofErr w:type="spellStart"/>
      <w:r w:rsidRPr="00E15308">
        <w:rPr>
          <w:sz w:val="18"/>
          <w:szCs w:val="18"/>
        </w:rPr>
        <w:t>Aakkula</w:t>
      </w:r>
      <w:proofErr w:type="spellEnd"/>
      <w:r w:rsidRPr="00E15308">
        <w:rPr>
          <w:sz w:val="18"/>
          <w:szCs w:val="18"/>
        </w:rPr>
        <w:t xml:space="preserve">, &amp; J. </w:t>
      </w:r>
      <w:proofErr w:type="spellStart"/>
      <w:r w:rsidRPr="00E15308">
        <w:rPr>
          <w:sz w:val="18"/>
          <w:szCs w:val="18"/>
        </w:rPr>
        <w:t>Pykälä</w:t>
      </w:r>
      <w:proofErr w:type="spellEnd"/>
      <w:r w:rsidRPr="00E15308">
        <w:rPr>
          <w:sz w:val="18"/>
          <w:szCs w:val="18"/>
        </w:rPr>
        <w:t xml:space="preserve">. </w:t>
      </w:r>
      <w:r w:rsidRPr="003D02C0">
        <w:rPr>
          <w:sz w:val="18"/>
          <w:szCs w:val="18"/>
          <w:lang w:val="en-GB"/>
        </w:rPr>
        <w:t xml:space="preserve">2003. Loss of plant species richness and habitat connectivity in grasslands associated with agricultural change in Finland. </w:t>
      </w:r>
      <w:proofErr w:type="spellStart"/>
      <w:r w:rsidRPr="00A74F4A">
        <w:rPr>
          <w:sz w:val="18"/>
          <w:szCs w:val="18"/>
          <w:lang w:val="en-US"/>
        </w:rPr>
        <w:t>Ambio</w:t>
      </w:r>
      <w:proofErr w:type="spellEnd"/>
      <w:r w:rsidRPr="00A74F4A">
        <w:rPr>
          <w:sz w:val="18"/>
          <w:szCs w:val="18"/>
          <w:lang w:val="en-US"/>
        </w:rPr>
        <w:t xml:space="preserve">, 32: 447-452. </w:t>
      </w:r>
    </w:p>
    <w:p w14:paraId="3B2AE24C" w14:textId="77777777" w:rsidR="00E15308" w:rsidRDefault="00E15308" w:rsidP="00A74F4A">
      <w:pPr>
        <w:spacing w:after="0"/>
        <w:ind w:left="567" w:hanging="567"/>
        <w:rPr>
          <w:sz w:val="18"/>
          <w:szCs w:val="18"/>
          <w:lang w:val="en-US"/>
        </w:rPr>
      </w:pPr>
      <w:r w:rsidRPr="00E15308">
        <w:rPr>
          <w:sz w:val="18"/>
          <w:szCs w:val="18"/>
          <w:lang w:val="en-US"/>
        </w:rPr>
        <w:t xml:space="preserve">Manton, M., &amp; P. </w:t>
      </w:r>
      <w:proofErr w:type="spellStart"/>
      <w:r w:rsidRPr="00E15308">
        <w:rPr>
          <w:sz w:val="18"/>
          <w:szCs w:val="18"/>
          <w:lang w:val="en-US"/>
        </w:rPr>
        <w:t>Angelstam</w:t>
      </w:r>
      <w:proofErr w:type="spellEnd"/>
      <w:r w:rsidRPr="00E15308">
        <w:rPr>
          <w:sz w:val="18"/>
          <w:szCs w:val="18"/>
          <w:lang w:val="en-US"/>
        </w:rPr>
        <w:t>. 2018. Defining benchmarks for restoration of green infrastructure: a case study combining the historical range of variability of habitat and species’ requirements. Sustainability, 10:326; doi:10.3390/su10020326</w:t>
      </w:r>
      <w:r>
        <w:rPr>
          <w:sz w:val="18"/>
          <w:szCs w:val="18"/>
          <w:lang w:val="en-US"/>
        </w:rPr>
        <w:t>.</w:t>
      </w:r>
    </w:p>
    <w:p w14:paraId="77384EC1" w14:textId="77777777" w:rsidR="00A74F4A" w:rsidRDefault="00A74F4A" w:rsidP="00A74F4A">
      <w:pPr>
        <w:spacing w:after="0"/>
        <w:ind w:left="567" w:hanging="567"/>
        <w:rPr>
          <w:sz w:val="18"/>
          <w:szCs w:val="18"/>
          <w:lang w:val="en-US"/>
        </w:rPr>
      </w:pPr>
      <w:r w:rsidRPr="00791E10">
        <w:rPr>
          <w:sz w:val="18"/>
          <w:szCs w:val="18"/>
        </w:rPr>
        <w:t xml:space="preserve">Öckinger, E., &amp; H.G. Smith. </w:t>
      </w:r>
      <w:r w:rsidRPr="00A74F4A">
        <w:rPr>
          <w:sz w:val="18"/>
          <w:szCs w:val="18"/>
          <w:lang w:val="en-US"/>
        </w:rPr>
        <w:t xml:space="preserve">2006. Landscape composition and habitat area affects </w:t>
      </w:r>
      <w:proofErr w:type="spellStart"/>
      <w:r w:rsidRPr="00A74F4A">
        <w:rPr>
          <w:sz w:val="18"/>
          <w:szCs w:val="18"/>
          <w:lang w:val="en-US"/>
        </w:rPr>
        <w:t>butterfy</w:t>
      </w:r>
      <w:proofErr w:type="spellEnd"/>
      <w:r w:rsidRPr="00A74F4A">
        <w:rPr>
          <w:sz w:val="18"/>
          <w:szCs w:val="18"/>
          <w:lang w:val="en-US"/>
        </w:rPr>
        <w:t xml:space="preserve"> species richness in semi-natural grasslands. </w:t>
      </w:r>
      <w:proofErr w:type="spellStart"/>
      <w:r w:rsidRPr="00A74F4A">
        <w:rPr>
          <w:sz w:val="18"/>
          <w:szCs w:val="18"/>
          <w:lang w:val="en-US"/>
        </w:rPr>
        <w:t>Oecologia</w:t>
      </w:r>
      <w:proofErr w:type="spellEnd"/>
      <w:r w:rsidRPr="00A74F4A">
        <w:rPr>
          <w:sz w:val="18"/>
          <w:szCs w:val="18"/>
          <w:lang w:val="en-US"/>
        </w:rPr>
        <w:t>, 149: 526–534.</w:t>
      </w:r>
    </w:p>
    <w:p w14:paraId="46323773" w14:textId="77777777" w:rsidR="00E15308" w:rsidRDefault="00E15308" w:rsidP="00A74F4A">
      <w:pPr>
        <w:spacing w:after="0"/>
        <w:ind w:left="567" w:hanging="567"/>
        <w:rPr>
          <w:sz w:val="18"/>
          <w:szCs w:val="18"/>
          <w:lang w:val="en-US"/>
        </w:rPr>
      </w:pPr>
      <w:proofErr w:type="spellStart"/>
      <w:r w:rsidRPr="00231EA1">
        <w:rPr>
          <w:sz w:val="18"/>
          <w:szCs w:val="18"/>
          <w:lang w:val="en-US"/>
        </w:rPr>
        <w:t>Pärtel</w:t>
      </w:r>
      <w:proofErr w:type="spellEnd"/>
      <w:r w:rsidRPr="00231EA1">
        <w:rPr>
          <w:sz w:val="18"/>
          <w:szCs w:val="18"/>
          <w:lang w:val="en-US"/>
        </w:rPr>
        <w:t xml:space="preserve">, M., H.H. Bruun, &amp; M. </w:t>
      </w:r>
      <w:proofErr w:type="spellStart"/>
      <w:r w:rsidRPr="00231EA1">
        <w:rPr>
          <w:sz w:val="18"/>
          <w:szCs w:val="18"/>
          <w:lang w:val="en-US"/>
        </w:rPr>
        <w:t>Sammul</w:t>
      </w:r>
      <w:proofErr w:type="spellEnd"/>
      <w:r w:rsidRPr="00231EA1">
        <w:rPr>
          <w:sz w:val="18"/>
          <w:szCs w:val="18"/>
          <w:lang w:val="en-US"/>
        </w:rPr>
        <w:t xml:space="preserve">. </w:t>
      </w:r>
      <w:r w:rsidRPr="00E15308">
        <w:rPr>
          <w:sz w:val="18"/>
          <w:szCs w:val="18"/>
          <w:lang w:val="en-US"/>
        </w:rPr>
        <w:t>2005. Biodiversity in temperate European grasslands: origin and conservation. In Grassland Science in Europe (Vol. 10, pp. 1-14). Grassland Science in Europe.</w:t>
      </w:r>
    </w:p>
    <w:p w14:paraId="0F862201" w14:textId="77777777" w:rsidR="00E15308" w:rsidRDefault="00E15308" w:rsidP="00A74F4A">
      <w:pPr>
        <w:spacing w:after="0"/>
        <w:ind w:left="567" w:hanging="567"/>
        <w:rPr>
          <w:sz w:val="18"/>
          <w:szCs w:val="18"/>
          <w:lang w:val="en-US"/>
        </w:rPr>
      </w:pPr>
      <w:proofErr w:type="spellStart"/>
      <w:r w:rsidRPr="00E15308">
        <w:rPr>
          <w:sz w:val="18"/>
          <w:szCs w:val="18"/>
          <w:lang w:val="en-US"/>
        </w:rPr>
        <w:t>Pe’er</w:t>
      </w:r>
      <w:proofErr w:type="spellEnd"/>
      <w:r w:rsidRPr="00E15308">
        <w:rPr>
          <w:sz w:val="18"/>
          <w:szCs w:val="18"/>
          <w:lang w:val="en-US"/>
        </w:rPr>
        <w:t xml:space="preserve">, G., M.A. </w:t>
      </w:r>
      <w:proofErr w:type="spellStart"/>
      <w:r w:rsidRPr="00E15308">
        <w:rPr>
          <w:sz w:val="18"/>
          <w:szCs w:val="18"/>
          <w:lang w:val="en-US"/>
        </w:rPr>
        <w:t>Tsianou</w:t>
      </w:r>
      <w:proofErr w:type="spellEnd"/>
      <w:r w:rsidRPr="00E15308">
        <w:rPr>
          <w:sz w:val="18"/>
          <w:szCs w:val="18"/>
          <w:lang w:val="en-US"/>
        </w:rPr>
        <w:t xml:space="preserve">, K.W. Franz, Y.G. </w:t>
      </w:r>
      <w:proofErr w:type="spellStart"/>
      <w:r w:rsidRPr="00E15308">
        <w:rPr>
          <w:sz w:val="18"/>
          <w:szCs w:val="18"/>
          <w:lang w:val="en-US"/>
        </w:rPr>
        <w:t>Matsinos</w:t>
      </w:r>
      <w:proofErr w:type="spellEnd"/>
      <w:r w:rsidRPr="00E15308">
        <w:rPr>
          <w:sz w:val="18"/>
          <w:szCs w:val="18"/>
          <w:lang w:val="en-US"/>
        </w:rPr>
        <w:t xml:space="preserve">, A.D. </w:t>
      </w:r>
      <w:proofErr w:type="spellStart"/>
      <w:r w:rsidRPr="00E15308">
        <w:rPr>
          <w:sz w:val="18"/>
          <w:szCs w:val="18"/>
          <w:lang w:val="en-US"/>
        </w:rPr>
        <w:t>Mazaris</w:t>
      </w:r>
      <w:proofErr w:type="spellEnd"/>
      <w:r w:rsidRPr="00E15308">
        <w:rPr>
          <w:sz w:val="18"/>
          <w:szCs w:val="18"/>
          <w:lang w:val="en-US"/>
        </w:rPr>
        <w:t xml:space="preserve">, D. Storch, L. </w:t>
      </w:r>
      <w:proofErr w:type="spellStart"/>
      <w:r w:rsidRPr="00E15308">
        <w:rPr>
          <w:sz w:val="18"/>
          <w:szCs w:val="18"/>
          <w:lang w:val="en-US"/>
        </w:rPr>
        <w:t>Kopsova</w:t>
      </w:r>
      <w:proofErr w:type="spellEnd"/>
      <w:r w:rsidRPr="00E15308">
        <w:rPr>
          <w:sz w:val="18"/>
          <w:szCs w:val="18"/>
          <w:lang w:val="en-US"/>
        </w:rPr>
        <w:t xml:space="preserve">, J. </w:t>
      </w:r>
      <w:proofErr w:type="spellStart"/>
      <w:r w:rsidRPr="00E15308">
        <w:rPr>
          <w:sz w:val="18"/>
          <w:szCs w:val="18"/>
          <w:lang w:val="en-US"/>
        </w:rPr>
        <w:t>Verboom</w:t>
      </w:r>
      <w:proofErr w:type="spellEnd"/>
      <w:r w:rsidRPr="00E15308">
        <w:rPr>
          <w:sz w:val="18"/>
          <w:szCs w:val="18"/>
          <w:lang w:val="en-US"/>
        </w:rPr>
        <w:t>, M. Baguette, V.M. Stevens, &amp; K. Henle. 2014. Toward better application of minimum area requirements in conservation planning. Biological conservation, 170: 92-102.</w:t>
      </w:r>
    </w:p>
    <w:p w14:paraId="27D33112" w14:textId="77777777" w:rsidR="00E15308" w:rsidRPr="00231EA1" w:rsidRDefault="00E15308" w:rsidP="00A74F4A">
      <w:pPr>
        <w:spacing w:after="0"/>
        <w:ind w:left="567" w:hanging="567"/>
        <w:rPr>
          <w:sz w:val="18"/>
          <w:szCs w:val="18"/>
        </w:rPr>
      </w:pPr>
      <w:r w:rsidRPr="00E15308">
        <w:rPr>
          <w:sz w:val="18"/>
          <w:szCs w:val="18"/>
          <w:lang w:val="en-US"/>
        </w:rPr>
        <w:t xml:space="preserve">Toräng, P. 2020. Critical thresholds – habitat loss, fragmentation, and species extinction risk in semi-natural grasslands. </w:t>
      </w:r>
      <w:r w:rsidRPr="00231EA1">
        <w:rPr>
          <w:sz w:val="18"/>
          <w:szCs w:val="18"/>
        </w:rPr>
        <w:t>SLU Artdatabanken, rapport SLU.DHA.2020.5.2-157.</w:t>
      </w:r>
    </w:p>
    <w:p w14:paraId="6C0E358F" w14:textId="77777777" w:rsidR="00911764" w:rsidRPr="00231EA1" w:rsidRDefault="00911764" w:rsidP="00A74F4A">
      <w:pPr>
        <w:spacing w:after="0"/>
        <w:ind w:left="567" w:hanging="567"/>
        <w:rPr>
          <w:sz w:val="18"/>
          <w:szCs w:val="18"/>
          <w:lang w:val="en-US"/>
        </w:rPr>
      </w:pPr>
      <w:r w:rsidRPr="00911764">
        <w:rPr>
          <w:sz w:val="18"/>
          <w:szCs w:val="18"/>
        </w:rPr>
        <w:t>Toräng, P., &amp; H. Berglund. 20</w:t>
      </w:r>
      <w:r>
        <w:rPr>
          <w:sz w:val="18"/>
          <w:szCs w:val="18"/>
        </w:rPr>
        <w:t>19</w:t>
      </w:r>
      <w:r w:rsidRPr="00911764">
        <w:rPr>
          <w:sz w:val="18"/>
          <w:szCs w:val="18"/>
        </w:rPr>
        <w:t>. Samordnad analys av referensarealer med fokus på gräsmarkernas och kustdynernas naturtyper (flerårsplan)</w:t>
      </w:r>
      <w:r>
        <w:rPr>
          <w:sz w:val="18"/>
          <w:szCs w:val="18"/>
        </w:rPr>
        <w:t xml:space="preserve">. </w:t>
      </w:r>
      <w:r w:rsidRPr="00231EA1">
        <w:rPr>
          <w:sz w:val="18"/>
          <w:szCs w:val="18"/>
          <w:lang w:val="en-US"/>
        </w:rPr>
        <w:t>SLU Artdatabanken, rapport SLU.DHA.2019.5.2-16.</w:t>
      </w:r>
    </w:p>
    <w:p w14:paraId="7829ADBA" w14:textId="77777777" w:rsidR="00911764" w:rsidRPr="00911764" w:rsidRDefault="00911764" w:rsidP="00A74F4A">
      <w:pPr>
        <w:spacing w:after="0"/>
        <w:ind w:left="567" w:hanging="567"/>
        <w:rPr>
          <w:sz w:val="18"/>
          <w:szCs w:val="18"/>
          <w:lang w:val="en-US"/>
        </w:rPr>
      </w:pPr>
      <w:r w:rsidRPr="00911764">
        <w:rPr>
          <w:sz w:val="18"/>
          <w:szCs w:val="18"/>
          <w:lang w:val="en-US"/>
        </w:rPr>
        <w:t xml:space="preserve">Toräng, P., &amp; J. Stephan. 2021. Minimum Area Requirements to denote </w:t>
      </w:r>
      <w:proofErr w:type="spellStart"/>
      <w:r w:rsidRPr="00911764">
        <w:rPr>
          <w:sz w:val="18"/>
          <w:szCs w:val="18"/>
          <w:lang w:val="en-US"/>
        </w:rPr>
        <w:t>Favourable</w:t>
      </w:r>
      <w:proofErr w:type="spellEnd"/>
      <w:r w:rsidRPr="00911764">
        <w:rPr>
          <w:sz w:val="18"/>
          <w:szCs w:val="18"/>
          <w:lang w:val="en-US"/>
        </w:rPr>
        <w:t xml:space="preserve"> Reference Areas for Natura 2000 habitats. SLU Art</w:t>
      </w:r>
      <w:r>
        <w:rPr>
          <w:sz w:val="18"/>
          <w:szCs w:val="18"/>
          <w:lang w:val="en-US"/>
        </w:rPr>
        <w:t>databanken, rapport SLU.DHA.2021.5.2-87.</w:t>
      </w:r>
    </w:p>
    <w:p w14:paraId="71FA9F4B" w14:textId="77777777" w:rsidR="00A74F4A" w:rsidRPr="00911764" w:rsidRDefault="00A74F4A" w:rsidP="00A74F4A">
      <w:pPr>
        <w:spacing w:after="0"/>
        <w:ind w:left="567" w:hanging="567"/>
        <w:rPr>
          <w:sz w:val="18"/>
          <w:szCs w:val="18"/>
          <w:lang w:val="en-US"/>
        </w:rPr>
      </w:pPr>
    </w:p>
    <w:sectPr w:rsidR="00A74F4A" w:rsidRPr="00911764" w:rsidSect="00F97B62">
      <w:headerReference w:type="even" r:id="rId12"/>
      <w:headerReference w:type="default" r:id="rId13"/>
      <w:footerReference w:type="default"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7200" w14:textId="77777777" w:rsidR="001C2005" w:rsidRDefault="001C2005" w:rsidP="00B65B3A">
      <w:pPr>
        <w:spacing w:after="0" w:line="240" w:lineRule="auto"/>
      </w:pPr>
      <w:r>
        <w:separator/>
      </w:r>
    </w:p>
    <w:p w14:paraId="1AE93F45" w14:textId="77777777" w:rsidR="001C2005" w:rsidRDefault="001C2005"/>
  </w:endnote>
  <w:endnote w:type="continuationSeparator" w:id="0">
    <w:p w14:paraId="37B2505A" w14:textId="77777777" w:rsidR="001C2005" w:rsidRDefault="001C2005" w:rsidP="00B65B3A">
      <w:pPr>
        <w:spacing w:after="0" w:line="240" w:lineRule="auto"/>
      </w:pPr>
      <w:r>
        <w:continuationSeparator/>
      </w:r>
    </w:p>
    <w:p w14:paraId="4EC16A6E" w14:textId="77777777" w:rsidR="001C2005" w:rsidRDefault="001C2005"/>
  </w:endnote>
  <w:endnote w:type="continuationNotice" w:id="1">
    <w:p w14:paraId="5C182A84" w14:textId="77777777" w:rsidR="001C2005" w:rsidRDefault="001C2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A015" w14:textId="77777777" w:rsidR="001C2005" w:rsidRDefault="001C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EC67" w14:textId="77777777" w:rsidR="001C2005" w:rsidRDefault="001C2005" w:rsidP="00B65B3A">
      <w:pPr>
        <w:spacing w:after="0" w:line="240" w:lineRule="auto"/>
      </w:pPr>
      <w:r>
        <w:separator/>
      </w:r>
    </w:p>
  </w:footnote>
  <w:footnote w:type="continuationSeparator" w:id="0">
    <w:p w14:paraId="1121BD8B" w14:textId="77777777" w:rsidR="001C2005" w:rsidRDefault="001C2005" w:rsidP="00B65B3A">
      <w:pPr>
        <w:spacing w:after="0" w:line="240" w:lineRule="auto"/>
      </w:pPr>
      <w:r>
        <w:continuationSeparator/>
      </w:r>
    </w:p>
  </w:footnote>
  <w:footnote w:type="continuationNotice" w:id="1">
    <w:p w14:paraId="6BFE73AB" w14:textId="77777777" w:rsidR="001C2005" w:rsidRDefault="001C2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01A6" w14:textId="77777777" w:rsidR="00CD410A" w:rsidRDefault="00CD410A" w:rsidP="00B65B3A">
    <w:pPr>
      <w:pStyle w:val="Header"/>
      <w:spacing w:before="240" w:after="276"/>
    </w:pPr>
  </w:p>
  <w:p w14:paraId="32520B75" w14:textId="77777777" w:rsidR="00CD410A" w:rsidRDefault="00CD410A" w:rsidP="00B65B3A">
    <w:pPr>
      <w:spacing w:after="276"/>
    </w:pPr>
  </w:p>
  <w:p w14:paraId="108E4C4B" w14:textId="77777777" w:rsidR="00CD410A" w:rsidRDefault="00CD410A"/>
  <w:p w14:paraId="3E1182FB"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7EDC" w14:textId="77777777" w:rsidR="001C2005" w:rsidRDefault="001C2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D958"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02"/>
    <w:rsid w:val="00002EF2"/>
    <w:rsid w:val="00017F5C"/>
    <w:rsid w:val="0002287F"/>
    <w:rsid w:val="00025404"/>
    <w:rsid w:val="0003125C"/>
    <w:rsid w:val="0005173A"/>
    <w:rsid w:val="00053E90"/>
    <w:rsid w:val="000B3695"/>
    <w:rsid w:val="000C0748"/>
    <w:rsid w:val="000D0FE3"/>
    <w:rsid w:val="000F5E03"/>
    <w:rsid w:val="001231E4"/>
    <w:rsid w:val="001355EF"/>
    <w:rsid w:val="001406CC"/>
    <w:rsid w:val="001414D6"/>
    <w:rsid w:val="00152C1E"/>
    <w:rsid w:val="00153304"/>
    <w:rsid w:val="00196B58"/>
    <w:rsid w:val="001A1F63"/>
    <w:rsid w:val="001B155A"/>
    <w:rsid w:val="001C2005"/>
    <w:rsid w:val="001C3335"/>
    <w:rsid w:val="001C4588"/>
    <w:rsid w:val="001E0C17"/>
    <w:rsid w:val="002169D8"/>
    <w:rsid w:val="00231EA1"/>
    <w:rsid w:val="002408FC"/>
    <w:rsid w:val="00244ADD"/>
    <w:rsid w:val="002472F4"/>
    <w:rsid w:val="00254101"/>
    <w:rsid w:val="00265D48"/>
    <w:rsid w:val="00266BE1"/>
    <w:rsid w:val="002726D3"/>
    <w:rsid w:val="002817AF"/>
    <w:rsid w:val="002A6EB2"/>
    <w:rsid w:val="002C02D6"/>
    <w:rsid w:val="002E6AE3"/>
    <w:rsid w:val="003152C4"/>
    <w:rsid w:val="00316A97"/>
    <w:rsid w:val="00323C83"/>
    <w:rsid w:val="00345FA9"/>
    <w:rsid w:val="00346952"/>
    <w:rsid w:val="00373994"/>
    <w:rsid w:val="00384C8B"/>
    <w:rsid w:val="003B2F68"/>
    <w:rsid w:val="003B38EF"/>
    <w:rsid w:val="003C30F5"/>
    <w:rsid w:val="003E07C4"/>
    <w:rsid w:val="003E5DF0"/>
    <w:rsid w:val="00402039"/>
    <w:rsid w:val="004043D4"/>
    <w:rsid w:val="00417F51"/>
    <w:rsid w:val="004210DE"/>
    <w:rsid w:val="004227D9"/>
    <w:rsid w:val="00426CA6"/>
    <w:rsid w:val="004332BF"/>
    <w:rsid w:val="004343E5"/>
    <w:rsid w:val="0045434E"/>
    <w:rsid w:val="00463513"/>
    <w:rsid w:val="00476851"/>
    <w:rsid w:val="004B6550"/>
    <w:rsid w:val="004C219F"/>
    <w:rsid w:val="004E4B59"/>
    <w:rsid w:val="00505276"/>
    <w:rsid w:val="00521C3B"/>
    <w:rsid w:val="0052484B"/>
    <w:rsid w:val="005267B8"/>
    <w:rsid w:val="00550A48"/>
    <w:rsid w:val="00574159"/>
    <w:rsid w:val="00574CAE"/>
    <w:rsid w:val="00574E67"/>
    <w:rsid w:val="00577529"/>
    <w:rsid w:val="0058300D"/>
    <w:rsid w:val="005B3699"/>
    <w:rsid w:val="005B5620"/>
    <w:rsid w:val="006049CB"/>
    <w:rsid w:val="00605AAA"/>
    <w:rsid w:val="0060679E"/>
    <w:rsid w:val="006114A3"/>
    <w:rsid w:val="006171AA"/>
    <w:rsid w:val="006323DC"/>
    <w:rsid w:val="00633F86"/>
    <w:rsid w:val="0068263D"/>
    <w:rsid w:val="00695E24"/>
    <w:rsid w:val="006C5E84"/>
    <w:rsid w:val="006C7BA1"/>
    <w:rsid w:val="006C7EEC"/>
    <w:rsid w:val="006C7EF6"/>
    <w:rsid w:val="006D79A3"/>
    <w:rsid w:val="006E19E7"/>
    <w:rsid w:val="006E4110"/>
    <w:rsid w:val="006F223F"/>
    <w:rsid w:val="007002D7"/>
    <w:rsid w:val="00707ACA"/>
    <w:rsid w:val="007121F4"/>
    <w:rsid w:val="0071315B"/>
    <w:rsid w:val="007212EF"/>
    <w:rsid w:val="00745D5A"/>
    <w:rsid w:val="0077745B"/>
    <w:rsid w:val="00791E10"/>
    <w:rsid w:val="00796EB5"/>
    <w:rsid w:val="007B14B8"/>
    <w:rsid w:val="007D4D7A"/>
    <w:rsid w:val="007E4639"/>
    <w:rsid w:val="007E47DA"/>
    <w:rsid w:val="007E5FE3"/>
    <w:rsid w:val="007F3F68"/>
    <w:rsid w:val="007F6F9B"/>
    <w:rsid w:val="0083714F"/>
    <w:rsid w:val="00840C01"/>
    <w:rsid w:val="00843EA7"/>
    <w:rsid w:val="0084674F"/>
    <w:rsid w:val="00862510"/>
    <w:rsid w:val="00864EFB"/>
    <w:rsid w:val="00890B5B"/>
    <w:rsid w:val="008B35B5"/>
    <w:rsid w:val="008C6FB1"/>
    <w:rsid w:val="008C7FA3"/>
    <w:rsid w:val="008E2971"/>
    <w:rsid w:val="008E2C57"/>
    <w:rsid w:val="008E724E"/>
    <w:rsid w:val="008F24D9"/>
    <w:rsid w:val="009109E8"/>
    <w:rsid w:val="00911764"/>
    <w:rsid w:val="009263D7"/>
    <w:rsid w:val="009662BC"/>
    <w:rsid w:val="009B3C9A"/>
    <w:rsid w:val="00A07925"/>
    <w:rsid w:val="00A22A18"/>
    <w:rsid w:val="00A47A74"/>
    <w:rsid w:val="00A73167"/>
    <w:rsid w:val="00A74F4A"/>
    <w:rsid w:val="00A82303"/>
    <w:rsid w:val="00A8595D"/>
    <w:rsid w:val="00A877A3"/>
    <w:rsid w:val="00AA5A49"/>
    <w:rsid w:val="00AC0BC2"/>
    <w:rsid w:val="00AD1A0A"/>
    <w:rsid w:val="00AF5948"/>
    <w:rsid w:val="00B30794"/>
    <w:rsid w:val="00B54D19"/>
    <w:rsid w:val="00B65B3A"/>
    <w:rsid w:val="00BA0E41"/>
    <w:rsid w:val="00BD281F"/>
    <w:rsid w:val="00BF1046"/>
    <w:rsid w:val="00BF20AD"/>
    <w:rsid w:val="00BF5EBE"/>
    <w:rsid w:val="00C07176"/>
    <w:rsid w:val="00C26923"/>
    <w:rsid w:val="00C32E09"/>
    <w:rsid w:val="00C56D4E"/>
    <w:rsid w:val="00C62AB9"/>
    <w:rsid w:val="00C84384"/>
    <w:rsid w:val="00C87604"/>
    <w:rsid w:val="00C910AD"/>
    <w:rsid w:val="00CB57EA"/>
    <w:rsid w:val="00CC31D7"/>
    <w:rsid w:val="00CD410A"/>
    <w:rsid w:val="00D00E93"/>
    <w:rsid w:val="00D65A45"/>
    <w:rsid w:val="00D83999"/>
    <w:rsid w:val="00D97EBF"/>
    <w:rsid w:val="00DB02E7"/>
    <w:rsid w:val="00DB0EAC"/>
    <w:rsid w:val="00DB7E7E"/>
    <w:rsid w:val="00DC260E"/>
    <w:rsid w:val="00DD37AC"/>
    <w:rsid w:val="00DD59D8"/>
    <w:rsid w:val="00DF14CB"/>
    <w:rsid w:val="00DF2814"/>
    <w:rsid w:val="00E00700"/>
    <w:rsid w:val="00E01AE2"/>
    <w:rsid w:val="00E032A9"/>
    <w:rsid w:val="00E04CBA"/>
    <w:rsid w:val="00E11BD3"/>
    <w:rsid w:val="00E15308"/>
    <w:rsid w:val="00E177C1"/>
    <w:rsid w:val="00E17891"/>
    <w:rsid w:val="00E32A53"/>
    <w:rsid w:val="00E5258F"/>
    <w:rsid w:val="00EC2D9D"/>
    <w:rsid w:val="00F05B25"/>
    <w:rsid w:val="00F171CE"/>
    <w:rsid w:val="00F240C5"/>
    <w:rsid w:val="00F36535"/>
    <w:rsid w:val="00F370B7"/>
    <w:rsid w:val="00F47A52"/>
    <w:rsid w:val="00F616DB"/>
    <w:rsid w:val="00F74F50"/>
    <w:rsid w:val="00F931AF"/>
    <w:rsid w:val="00F96F2A"/>
    <w:rsid w:val="00F97B62"/>
    <w:rsid w:val="00FA0515"/>
    <w:rsid w:val="00FD0A11"/>
    <w:rsid w:val="00FD6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6CFB3"/>
  <w15:chartTrackingRefBased/>
  <w15:docId w15:val="{1CE58150-0985-4F77-9A67-45181748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588"/>
    <w:pPr>
      <w:spacing w:after="160" w:line="259" w:lineRule="auto"/>
    </w:pPr>
    <w:rPr>
      <w:rFonts w:asciiTheme="minorHAnsi" w:hAnsiTheme="minorHAnsi"/>
      <w:lang w:val="en-IE"/>
    </w:rPr>
  </w:style>
  <w:style w:type="paragraph" w:styleId="Heading1">
    <w:name w:val="heading 1"/>
    <w:basedOn w:val="Normal"/>
    <w:next w:val="Normal"/>
    <w:link w:val="Heading1Char"/>
    <w:uiPriority w:val="9"/>
    <w:qFormat/>
    <w:rsid w:val="00791E10"/>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791E10"/>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791E10"/>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791E10"/>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1C45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588"/>
  </w:style>
  <w:style w:type="character" w:customStyle="1" w:styleId="Heading1Char">
    <w:name w:val="Heading 1 Char"/>
    <w:basedOn w:val="DefaultParagraphFont"/>
    <w:link w:val="Heading1"/>
    <w:uiPriority w:val="9"/>
    <w:rsid w:val="00791E10"/>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791E10"/>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791E10"/>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791E10"/>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791E10"/>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791E10"/>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791E10"/>
    <w:rPr>
      <w:rFonts w:asciiTheme="majorHAnsi" w:hAnsiTheme="majorHAnsi"/>
      <w:sz w:val="14"/>
    </w:rPr>
  </w:style>
  <w:style w:type="paragraph" w:styleId="Footer">
    <w:name w:val="footer"/>
    <w:basedOn w:val="Header"/>
    <w:link w:val="FooterChar"/>
    <w:uiPriority w:val="99"/>
    <w:rsid w:val="00791E10"/>
    <w:pPr>
      <w:tabs>
        <w:tab w:val="clear" w:pos="3686"/>
        <w:tab w:val="left" w:pos="4111"/>
      </w:tabs>
    </w:pPr>
    <w:rPr>
      <w:lang w:val="en-GB"/>
    </w:rPr>
  </w:style>
  <w:style w:type="character" w:customStyle="1" w:styleId="FooterChar">
    <w:name w:val="Footer Char"/>
    <w:basedOn w:val="DefaultParagraphFont"/>
    <w:link w:val="Footer"/>
    <w:uiPriority w:val="99"/>
    <w:rsid w:val="00791E10"/>
    <w:rPr>
      <w:rFonts w:asciiTheme="majorHAnsi" w:hAnsiTheme="majorHAnsi"/>
      <w:sz w:val="14"/>
      <w:lang w:val="en-GB"/>
    </w:rPr>
  </w:style>
  <w:style w:type="character" w:styleId="PlaceholderText">
    <w:name w:val="Placeholder Text"/>
    <w:basedOn w:val="DefaultParagraphFont"/>
    <w:uiPriority w:val="99"/>
    <w:semiHidden/>
    <w:rsid w:val="00791E10"/>
    <w:rPr>
      <w:color w:val="808080"/>
    </w:rPr>
  </w:style>
  <w:style w:type="paragraph" w:styleId="BalloonText">
    <w:name w:val="Balloon Text"/>
    <w:basedOn w:val="Normal"/>
    <w:link w:val="BalloonTextChar"/>
    <w:uiPriority w:val="99"/>
    <w:semiHidden/>
    <w:unhideWhenUsed/>
    <w:rsid w:val="0079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10"/>
    <w:rPr>
      <w:rFonts w:ascii="Tahoma" w:hAnsi="Tahoma" w:cs="Tahoma"/>
      <w:sz w:val="16"/>
      <w:szCs w:val="16"/>
    </w:rPr>
  </w:style>
  <w:style w:type="table" w:styleId="TableGrid">
    <w:name w:val="Table Grid"/>
    <w:basedOn w:val="TableNormal"/>
    <w:uiPriority w:val="59"/>
    <w:rsid w:val="0079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791E10"/>
    <w:pPr>
      <w:tabs>
        <w:tab w:val="clear" w:pos="9072"/>
        <w:tab w:val="right" w:pos="8789"/>
      </w:tabs>
    </w:pPr>
  </w:style>
  <w:style w:type="character" w:styleId="Hyperlink">
    <w:name w:val="Hyperlink"/>
    <w:basedOn w:val="DefaultParagraphFont"/>
    <w:uiPriority w:val="99"/>
    <w:semiHidden/>
    <w:qFormat/>
    <w:rsid w:val="00791E10"/>
    <w:rPr>
      <w:color w:val="0000FF"/>
      <w:u w:val="single"/>
    </w:rPr>
  </w:style>
  <w:style w:type="paragraph" w:styleId="TOCHeading">
    <w:name w:val="TOC Heading"/>
    <w:basedOn w:val="Heading1"/>
    <w:next w:val="Normal"/>
    <w:uiPriority w:val="39"/>
    <w:semiHidden/>
    <w:rsid w:val="00791E10"/>
    <w:pPr>
      <w:pageBreakBefore/>
      <w:suppressAutoHyphens w:val="0"/>
      <w:outlineLvl w:val="9"/>
    </w:pPr>
    <w:rPr>
      <w:lang w:val="en-US" w:eastAsia="ja-JP"/>
    </w:rPr>
  </w:style>
  <w:style w:type="paragraph" w:styleId="Quote">
    <w:name w:val="Quote"/>
    <w:basedOn w:val="Normal"/>
    <w:link w:val="QuoteChar"/>
    <w:uiPriority w:val="10"/>
    <w:qFormat/>
    <w:rsid w:val="00791E10"/>
    <w:pPr>
      <w:spacing w:after="220"/>
      <w:ind w:left="357"/>
    </w:pPr>
    <w:rPr>
      <w:iCs/>
      <w:color w:val="000000" w:themeColor="text1"/>
      <w:sz w:val="20"/>
    </w:rPr>
  </w:style>
  <w:style w:type="character" w:customStyle="1" w:styleId="QuoteChar">
    <w:name w:val="Quote Char"/>
    <w:basedOn w:val="DefaultParagraphFont"/>
    <w:link w:val="Quote"/>
    <w:uiPriority w:val="10"/>
    <w:rsid w:val="00791E10"/>
    <w:rPr>
      <w:rFonts w:asciiTheme="minorHAnsi" w:hAnsiTheme="minorHAnsi"/>
      <w:iCs/>
      <w:color w:val="000000" w:themeColor="text1"/>
      <w:sz w:val="20"/>
    </w:rPr>
  </w:style>
  <w:style w:type="paragraph" w:styleId="TOC1">
    <w:name w:val="toc 1"/>
    <w:basedOn w:val="Normal"/>
    <w:next w:val="Normal"/>
    <w:uiPriority w:val="39"/>
    <w:semiHidden/>
    <w:rsid w:val="00791E10"/>
    <w:pPr>
      <w:spacing w:beforeLines="100" w:before="100" w:after="0"/>
    </w:pPr>
  </w:style>
  <w:style w:type="paragraph" w:styleId="TOC2">
    <w:name w:val="toc 2"/>
    <w:basedOn w:val="Normal"/>
    <w:next w:val="Normal"/>
    <w:uiPriority w:val="99"/>
    <w:semiHidden/>
    <w:rsid w:val="00791E10"/>
    <w:pPr>
      <w:spacing w:after="0"/>
      <w:ind w:left="276"/>
    </w:pPr>
  </w:style>
  <w:style w:type="paragraph" w:styleId="TOC3">
    <w:name w:val="toc 3"/>
    <w:basedOn w:val="Normal"/>
    <w:next w:val="Normal"/>
    <w:uiPriority w:val="99"/>
    <w:semiHidden/>
    <w:rsid w:val="00791E10"/>
    <w:pPr>
      <w:spacing w:after="0"/>
      <w:ind w:left="552"/>
    </w:pPr>
  </w:style>
  <w:style w:type="character" w:styleId="Emphasis">
    <w:name w:val="Emphasis"/>
    <w:basedOn w:val="DefaultParagraphFont"/>
    <w:uiPriority w:val="1"/>
    <w:rsid w:val="00791E10"/>
    <w:rPr>
      <w:i/>
      <w:iCs/>
    </w:rPr>
  </w:style>
  <w:style w:type="paragraph" w:styleId="TOC4">
    <w:name w:val="toc 4"/>
    <w:basedOn w:val="Normal"/>
    <w:next w:val="Normal"/>
    <w:uiPriority w:val="99"/>
    <w:semiHidden/>
    <w:rsid w:val="00791E10"/>
    <w:pPr>
      <w:spacing w:after="100"/>
      <w:ind w:left="660"/>
    </w:pPr>
  </w:style>
  <w:style w:type="paragraph" w:styleId="TOC5">
    <w:name w:val="toc 5"/>
    <w:basedOn w:val="Normal"/>
    <w:next w:val="Normal"/>
    <w:uiPriority w:val="99"/>
    <w:semiHidden/>
    <w:rsid w:val="00791E10"/>
    <w:pPr>
      <w:spacing w:after="100"/>
      <w:ind w:left="880"/>
    </w:pPr>
  </w:style>
  <w:style w:type="paragraph" w:styleId="TOC6">
    <w:name w:val="toc 6"/>
    <w:basedOn w:val="Normal"/>
    <w:next w:val="Normal"/>
    <w:uiPriority w:val="99"/>
    <w:semiHidden/>
    <w:rsid w:val="00791E10"/>
    <w:pPr>
      <w:spacing w:after="100"/>
      <w:ind w:left="1100"/>
    </w:pPr>
  </w:style>
  <w:style w:type="paragraph" w:styleId="TOC7">
    <w:name w:val="toc 7"/>
    <w:basedOn w:val="Normal"/>
    <w:next w:val="Normal"/>
    <w:uiPriority w:val="99"/>
    <w:semiHidden/>
    <w:rsid w:val="00791E10"/>
    <w:pPr>
      <w:spacing w:after="100"/>
      <w:ind w:left="1320"/>
    </w:pPr>
  </w:style>
  <w:style w:type="paragraph" w:styleId="TOC8">
    <w:name w:val="toc 8"/>
    <w:basedOn w:val="Normal"/>
    <w:next w:val="Normal"/>
    <w:uiPriority w:val="99"/>
    <w:semiHidden/>
    <w:rsid w:val="00791E10"/>
    <w:pPr>
      <w:spacing w:after="100"/>
      <w:ind w:left="1540"/>
    </w:pPr>
  </w:style>
  <w:style w:type="paragraph" w:styleId="TOC9">
    <w:name w:val="toc 9"/>
    <w:basedOn w:val="Normal"/>
    <w:next w:val="Normal"/>
    <w:uiPriority w:val="99"/>
    <w:semiHidden/>
    <w:rsid w:val="00791E10"/>
    <w:pPr>
      <w:spacing w:after="100"/>
      <w:ind w:left="1760"/>
    </w:pPr>
  </w:style>
  <w:style w:type="table" w:customStyle="1" w:styleId="Trelinjerstabell">
    <w:name w:val="Trelinjerstabell"/>
    <w:basedOn w:val="TableNormal"/>
    <w:uiPriority w:val="99"/>
    <w:rsid w:val="00791E10"/>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791E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791E10"/>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791E10"/>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791E10"/>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791E10"/>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791E10"/>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791E10"/>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791E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791E10"/>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791E10"/>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791E10"/>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791E10"/>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791E10"/>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791E10"/>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91E10"/>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91E10"/>
    <w:pPr>
      <w:ind w:right="4111"/>
    </w:pPr>
  </w:style>
  <w:style w:type="character" w:styleId="Strong">
    <w:name w:val="Strong"/>
    <w:basedOn w:val="DefaultParagraphFont"/>
    <w:uiPriority w:val="1"/>
    <w:rsid w:val="00791E10"/>
    <w:rPr>
      <w:b/>
      <w:bCs/>
    </w:rPr>
  </w:style>
  <w:style w:type="table" w:customStyle="1" w:styleId="Sidfottabell">
    <w:name w:val="Sidfot tabell"/>
    <w:basedOn w:val="TableNormal"/>
    <w:uiPriority w:val="99"/>
    <w:rsid w:val="00791E10"/>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791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E10"/>
    <w:rPr>
      <w:rFonts w:asciiTheme="minorHAnsi" w:hAnsiTheme="minorHAnsi"/>
      <w:sz w:val="20"/>
      <w:szCs w:val="20"/>
    </w:rPr>
  </w:style>
  <w:style w:type="character" w:styleId="FootnoteReference">
    <w:name w:val="footnote reference"/>
    <w:basedOn w:val="DefaultParagraphFont"/>
    <w:uiPriority w:val="99"/>
    <w:semiHidden/>
    <w:unhideWhenUsed/>
    <w:rsid w:val="00791E10"/>
    <w:rPr>
      <w:vertAlign w:val="superscript"/>
    </w:rPr>
  </w:style>
  <w:style w:type="character" w:customStyle="1" w:styleId="Heading4Char">
    <w:name w:val="Heading 4 Char"/>
    <w:basedOn w:val="DefaultParagraphFont"/>
    <w:link w:val="Heading4"/>
    <w:uiPriority w:val="9"/>
    <w:rsid w:val="00791E10"/>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91E10"/>
    <w:rPr>
      <w:rFonts w:asciiTheme="majorHAnsi" w:hAnsiTheme="majorHAnsi"/>
      <w:color w:val="auto"/>
      <w:sz w:val="14"/>
    </w:rPr>
  </w:style>
  <w:style w:type="character" w:customStyle="1" w:styleId="Sidfotmallarna">
    <w:name w:val="Sidfot mallarna"/>
    <w:basedOn w:val="DefaultParagraphFont"/>
    <w:uiPriority w:val="1"/>
    <w:rsid w:val="00791E10"/>
    <w:rPr>
      <w:rFonts w:asciiTheme="majorHAnsi" w:hAnsiTheme="majorHAnsi"/>
      <w:sz w:val="14"/>
    </w:rPr>
  </w:style>
  <w:style w:type="character" w:customStyle="1" w:styleId="Sidfotmallarnagr">
    <w:name w:val="Sidfot mallarna grå"/>
    <w:basedOn w:val="DefaultParagraphFont"/>
    <w:uiPriority w:val="1"/>
    <w:rsid w:val="00791E10"/>
    <w:rPr>
      <w:color w:val="7F7F7F" w:themeColor="text1" w:themeTint="80"/>
    </w:rPr>
  </w:style>
  <w:style w:type="paragraph" w:customStyle="1" w:styleId="TillfalligText">
    <w:name w:val="TillfalligText"/>
    <w:basedOn w:val="Normal"/>
    <w:link w:val="TillfalligTextChar"/>
    <w:rsid w:val="00791E10"/>
    <w:pPr>
      <w:spacing w:after="120"/>
    </w:pPr>
    <w:rPr>
      <w:rFonts w:cstheme="minorHAnsi"/>
      <w:bdr w:val="single" w:sz="4" w:space="0" w:color="auto"/>
    </w:rPr>
  </w:style>
  <w:style w:type="character" w:customStyle="1" w:styleId="TillfalligTextChar">
    <w:name w:val="TillfalligText Char"/>
    <w:basedOn w:val="DefaultParagraphFont"/>
    <w:link w:val="TillfalligText"/>
    <w:rsid w:val="00791E10"/>
    <w:rPr>
      <w:rFonts w:asciiTheme="minorHAnsi" w:hAnsiTheme="minorHAnsi" w:cstheme="minorHAnsi"/>
      <w:bdr w:val="single" w:sz="4" w:space="0" w:color="auto"/>
    </w:rPr>
  </w:style>
  <w:style w:type="paragraph" w:styleId="ListBullet">
    <w:name w:val="List Bullet"/>
    <w:basedOn w:val="Normal"/>
    <w:uiPriority w:val="99"/>
    <w:qFormat/>
    <w:rsid w:val="00791E10"/>
    <w:pPr>
      <w:numPr>
        <w:numId w:val="4"/>
      </w:numPr>
      <w:contextualSpacing/>
    </w:pPr>
  </w:style>
  <w:style w:type="paragraph" w:styleId="ListNumber">
    <w:name w:val="List Number"/>
    <w:basedOn w:val="Normal"/>
    <w:uiPriority w:val="99"/>
    <w:qFormat/>
    <w:rsid w:val="00791E10"/>
    <w:pPr>
      <w:numPr>
        <w:numId w:val="3"/>
      </w:numPr>
      <w:contextualSpacing/>
    </w:pPr>
  </w:style>
  <w:style w:type="paragraph" w:styleId="Bibliography">
    <w:name w:val="Bibliography"/>
    <w:basedOn w:val="Normal"/>
    <w:next w:val="Normal"/>
    <w:uiPriority w:val="37"/>
    <w:semiHidden/>
    <w:unhideWhenUsed/>
    <w:rsid w:val="00E15308"/>
  </w:style>
  <w:style w:type="character" w:styleId="CommentReference">
    <w:name w:val="annotation reference"/>
    <w:basedOn w:val="DefaultParagraphFont"/>
    <w:uiPriority w:val="99"/>
    <w:semiHidden/>
    <w:unhideWhenUsed/>
    <w:rsid w:val="001C2005"/>
    <w:rPr>
      <w:sz w:val="16"/>
      <w:szCs w:val="16"/>
    </w:rPr>
  </w:style>
  <w:style w:type="paragraph" w:styleId="CommentText">
    <w:name w:val="annotation text"/>
    <w:basedOn w:val="Normal"/>
    <w:link w:val="CommentTextChar"/>
    <w:uiPriority w:val="99"/>
    <w:semiHidden/>
    <w:unhideWhenUsed/>
    <w:rsid w:val="001C2005"/>
    <w:pPr>
      <w:spacing w:line="240" w:lineRule="auto"/>
    </w:pPr>
    <w:rPr>
      <w:sz w:val="20"/>
      <w:szCs w:val="20"/>
    </w:rPr>
  </w:style>
  <w:style w:type="character" w:customStyle="1" w:styleId="CommentTextChar">
    <w:name w:val="Comment Text Char"/>
    <w:basedOn w:val="DefaultParagraphFont"/>
    <w:link w:val="CommentText"/>
    <w:uiPriority w:val="99"/>
    <w:semiHidden/>
    <w:rsid w:val="001C200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C2005"/>
    <w:rPr>
      <w:b/>
      <w:bCs/>
    </w:rPr>
  </w:style>
  <w:style w:type="character" w:customStyle="1" w:styleId="CommentSubjectChar">
    <w:name w:val="Comment Subject Char"/>
    <w:basedOn w:val="CommentTextChar"/>
    <w:link w:val="CommentSubject"/>
    <w:uiPriority w:val="99"/>
    <w:semiHidden/>
    <w:rsid w:val="001C2005"/>
    <w:rPr>
      <w:rFonts w:asciiTheme="minorHAnsi" w:hAnsiTheme="minorHAnsi"/>
      <w:b/>
      <w:bCs/>
      <w:sz w:val="20"/>
      <w:szCs w:val="20"/>
    </w:rPr>
  </w:style>
  <w:style w:type="paragraph" w:styleId="Revision">
    <w:name w:val="Revision"/>
    <w:hidden/>
    <w:uiPriority w:val="99"/>
    <w:semiHidden/>
    <w:rsid w:val="001C2005"/>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7600874">
      <w:bodyDiv w:val="1"/>
      <w:marLeft w:val="0"/>
      <w:marRight w:val="0"/>
      <w:marTop w:val="0"/>
      <w:marBottom w:val="0"/>
      <w:divBdr>
        <w:top w:val="none" w:sz="0" w:space="0" w:color="auto"/>
        <w:left w:val="none" w:sz="0" w:space="0" w:color="auto"/>
        <w:bottom w:val="none" w:sz="0" w:space="0" w:color="auto"/>
        <w:right w:val="none" w:sz="0" w:space="0" w:color="auto"/>
      </w:divBdr>
    </w:div>
    <w:div w:id="923606674">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CD214FE6-9A97-4C11-82DE-75B24841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1904</Words>
  <Characters>10856</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Toräng</dc:creator>
  <cp:keywords/>
  <dc:description/>
  <cp:lastModifiedBy>Michelle WATSON</cp:lastModifiedBy>
  <cp:revision>3</cp:revision>
  <cp:lastPrinted>2012-03-26T17:07:00Z</cp:lastPrinted>
  <dcterms:created xsi:type="dcterms:W3CDTF">2022-11-16T08:05:00Z</dcterms:created>
  <dcterms:modified xsi:type="dcterms:W3CDTF">2022-12-02T10:06:00Z</dcterms:modified>
</cp:coreProperties>
</file>