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42C" w:rsidRDefault="00644323" w:rsidP="00644323">
      <w:pPr>
        <w:jc w:val="center"/>
        <w:rPr>
          <w:rFonts w:asciiTheme="minorHAnsi" w:hAnsiTheme="minorHAnsi" w:cstheme="minorHAnsi"/>
          <w:b/>
          <w:sz w:val="32"/>
          <w:szCs w:val="32"/>
        </w:rPr>
      </w:pPr>
      <w:r w:rsidRPr="00644323">
        <w:rPr>
          <w:rFonts w:asciiTheme="minorHAnsi" w:hAnsiTheme="minorHAnsi" w:cstheme="minorHAnsi"/>
          <w:b/>
          <w:sz w:val="32"/>
          <w:szCs w:val="32"/>
        </w:rPr>
        <w:t xml:space="preserve">Compilation of common questions </w:t>
      </w:r>
    </w:p>
    <w:p w:rsidR="005F0899" w:rsidRPr="00644323" w:rsidRDefault="00FF442C" w:rsidP="00644323">
      <w:pPr>
        <w:jc w:val="center"/>
        <w:rPr>
          <w:rFonts w:asciiTheme="minorHAnsi" w:hAnsiTheme="minorHAnsi" w:cstheme="minorHAnsi"/>
          <w:b/>
          <w:sz w:val="32"/>
          <w:szCs w:val="32"/>
        </w:rPr>
      </w:pPr>
      <w:r w:rsidRPr="00FF442C">
        <w:rPr>
          <w:rFonts w:asciiTheme="minorHAnsi" w:hAnsiTheme="minorHAnsi" w:cstheme="minorHAnsi"/>
          <w:b/>
          <w:sz w:val="32"/>
          <w:szCs w:val="32"/>
        </w:rPr>
        <w:t xml:space="preserve">Reporting on </w:t>
      </w:r>
      <w:r w:rsidR="00CF6961">
        <w:rPr>
          <w:rFonts w:asciiTheme="minorHAnsi" w:hAnsiTheme="minorHAnsi" w:cstheme="minorHAnsi"/>
          <w:b/>
          <w:sz w:val="32"/>
          <w:szCs w:val="32"/>
        </w:rPr>
        <w:t>a</w:t>
      </w:r>
      <w:r w:rsidR="00CF6961" w:rsidRPr="00CF6961">
        <w:rPr>
          <w:rFonts w:asciiTheme="minorHAnsi" w:hAnsiTheme="minorHAnsi" w:cstheme="minorHAnsi"/>
          <w:b/>
          <w:sz w:val="32"/>
          <w:szCs w:val="32"/>
        </w:rPr>
        <w:t>nnual CO emissions and concentr</w:t>
      </w:r>
      <w:r w:rsidR="00CF6961">
        <w:rPr>
          <w:rFonts w:asciiTheme="minorHAnsi" w:hAnsiTheme="minorHAnsi" w:cstheme="minorHAnsi"/>
          <w:b/>
          <w:sz w:val="32"/>
          <w:szCs w:val="32"/>
        </w:rPr>
        <w:t>ation of CO emissions from MCPs</w:t>
      </w:r>
    </w:p>
    <w:p w:rsidR="00644323" w:rsidRDefault="00644323" w:rsidP="005F0899">
      <w:pPr>
        <w:rPr>
          <w:rFonts w:asciiTheme="minorHAnsi" w:hAnsiTheme="minorHAnsi" w:cstheme="minorHAnsi"/>
          <w:sz w:val="22"/>
        </w:rPr>
      </w:pPr>
    </w:p>
    <w:p w:rsidR="00FF442C" w:rsidRDefault="00FF442C" w:rsidP="005F0899">
      <w:pPr>
        <w:rPr>
          <w:rFonts w:asciiTheme="minorHAnsi" w:hAnsiTheme="minorHAnsi" w:cstheme="minorHAnsi"/>
          <w:sz w:val="22"/>
        </w:rPr>
      </w:pPr>
    </w:p>
    <w:p w:rsidR="00A8440D" w:rsidRPr="00A8440D" w:rsidRDefault="00A8440D" w:rsidP="00A8440D">
      <w:pPr>
        <w:pStyle w:val="ListParagraph"/>
        <w:numPr>
          <w:ilvl w:val="0"/>
          <w:numId w:val="4"/>
        </w:numPr>
        <w:rPr>
          <w:rFonts w:asciiTheme="minorHAnsi" w:eastAsia="Times New Roman" w:hAnsiTheme="minorHAnsi" w:cstheme="minorHAnsi"/>
          <w:b/>
          <w:sz w:val="28"/>
          <w:szCs w:val="28"/>
          <w:highlight w:val="cyan"/>
        </w:rPr>
      </w:pPr>
      <w:r w:rsidRPr="00A8440D">
        <w:rPr>
          <w:rFonts w:asciiTheme="minorHAnsi" w:eastAsia="Times New Roman" w:hAnsiTheme="minorHAnsi" w:cstheme="minorHAnsi"/>
          <w:b/>
          <w:sz w:val="28"/>
          <w:szCs w:val="28"/>
          <w:highlight w:val="cyan"/>
        </w:rPr>
        <w:t>CO measurements</w:t>
      </w:r>
    </w:p>
    <w:p w:rsidR="00CF6961" w:rsidRDefault="00CF6961" w:rsidP="00CF6961">
      <w:pPr>
        <w:rPr>
          <w:rFonts w:asciiTheme="minorHAnsi" w:eastAsia="Times New Roman" w:hAnsiTheme="minorHAnsi" w:cstheme="minorHAnsi"/>
          <w:b/>
          <w:sz w:val="28"/>
          <w:szCs w:val="28"/>
        </w:rPr>
      </w:pPr>
      <w:r w:rsidRPr="00CF6961">
        <w:rPr>
          <w:rFonts w:asciiTheme="minorHAnsi" w:eastAsia="Times New Roman" w:hAnsiTheme="minorHAnsi" w:cstheme="minorHAnsi"/>
          <w:b/>
          <w:sz w:val="28"/>
          <w:szCs w:val="28"/>
        </w:rPr>
        <w:t xml:space="preserve">Regarding the CO measurements at MCP installations, would you please clarify what type of measurement you expect? </w:t>
      </w:r>
    </w:p>
    <w:p w:rsidR="00CF6961" w:rsidRDefault="00CF6961" w:rsidP="00CF6961">
      <w:pPr>
        <w:rPr>
          <w:rFonts w:asciiTheme="minorHAnsi" w:eastAsia="Times New Roman" w:hAnsiTheme="minorHAnsi" w:cstheme="minorHAnsi"/>
          <w:b/>
          <w:sz w:val="28"/>
          <w:szCs w:val="28"/>
        </w:rPr>
      </w:pPr>
      <w:r w:rsidRPr="00CF6961">
        <w:rPr>
          <w:rFonts w:asciiTheme="minorHAnsi" w:eastAsia="Times New Roman" w:hAnsiTheme="minorHAnsi" w:cstheme="minorHAnsi"/>
          <w:b/>
          <w:sz w:val="28"/>
          <w:szCs w:val="28"/>
        </w:rPr>
        <w:t>For example, should the operators do these measurements with the relevant standard (EN 15058:2017) from accredited laboratory with EN 17025:2017, or just the use of EN 50379 (portable measuring</w:t>
      </w:r>
      <w:r>
        <w:rPr>
          <w:rFonts w:asciiTheme="minorHAnsi" w:eastAsia="Times New Roman" w:hAnsiTheme="minorHAnsi" w:cstheme="minorHAnsi"/>
          <w:b/>
          <w:sz w:val="28"/>
          <w:szCs w:val="28"/>
        </w:rPr>
        <w:t xml:space="preserve"> </w:t>
      </w:r>
      <w:r w:rsidRPr="00CF6961">
        <w:rPr>
          <w:rFonts w:asciiTheme="minorHAnsi" w:eastAsia="Times New Roman" w:hAnsiTheme="minorHAnsi" w:cstheme="minorHAnsi"/>
          <w:b/>
          <w:sz w:val="28"/>
          <w:szCs w:val="28"/>
        </w:rPr>
        <w:t>instruments) is acceptable?</w:t>
      </w:r>
    </w:p>
    <w:p w:rsidR="00CF6961" w:rsidRPr="00CF6961" w:rsidRDefault="00CF6961" w:rsidP="00CF6961">
      <w:pPr>
        <w:rPr>
          <w:rFonts w:asciiTheme="minorHAnsi" w:eastAsia="Times New Roman" w:hAnsiTheme="minorHAnsi" w:cstheme="minorHAnsi"/>
          <w:b/>
          <w:sz w:val="28"/>
          <w:szCs w:val="28"/>
        </w:rPr>
      </w:pPr>
    </w:p>
    <w:p w:rsidR="00CF6961" w:rsidRPr="00CF6961" w:rsidRDefault="00CF6961" w:rsidP="00CF6961">
      <w:pPr>
        <w:jc w:val="both"/>
        <w:rPr>
          <w:rFonts w:asciiTheme="minorHAnsi" w:hAnsiTheme="minorHAnsi" w:cstheme="minorHAnsi"/>
          <w:sz w:val="24"/>
          <w:szCs w:val="24"/>
        </w:rPr>
      </w:pPr>
      <w:r w:rsidRPr="00CF6961">
        <w:rPr>
          <w:rFonts w:asciiTheme="minorHAnsi" w:hAnsiTheme="minorHAnsi" w:cstheme="minorHAnsi"/>
          <w:sz w:val="24"/>
          <w:szCs w:val="24"/>
        </w:rPr>
        <w:t xml:space="preserve">The aim of this reporting obligation is to understand the level of CO emissions </w:t>
      </w:r>
      <w:r w:rsidRPr="00CF6961">
        <w:rPr>
          <w:rFonts w:asciiTheme="minorHAnsi" w:hAnsiTheme="minorHAnsi" w:cstheme="minorHAnsi"/>
          <w:b/>
          <w:bCs/>
          <w:sz w:val="24"/>
          <w:szCs w:val="24"/>
        </w:rPr>
        <w:t>not to create obligations to gather new data</w:t>
      </w:r>
      <w:r w:rsidRPr="00CF6961">
        <w:rPr>
          <w:rFonts w:asciiTheme="minorHAnsi" w:hAnsiTheme="minorHAnsi" w:cstheme="minorHAnsi"/>
          <w:sz w:val="24"/>
          <w:szCs w:val="24"/>
        </w:rPr>
        <w:t xml:space="preserve">. </w:t>
      </w:r>
    </w:p>
    <w:p w:rsidR="00CF6961" w:rsidRPr="00CF6961" w:rsidRDefault="00CF6961" w:rsidP="00CF6961">
      <w:pPr>
        <w:jc w:val="both"/>
        <w:rPr>
          <w:rFonts w:asciiTheme="minorHAnsi" w:hAnsiTheme="minorHAnsi" w:cstheme="minorHAnsi"/>
          <w:sz w:val="24"/>
          <w:szCs w:val="24"/>
        </w:rPr>
      </w:pPr>
      <w:r w:rsidRPr="00CF6961">
        <w:rPr>
          <w:rFonts w:asciiTheme="minorHAnsi" w:hAnsiTheme="minorHAnsi" w:cstheme="minorHAnsi"/>
          <w:sz w:val="24"/>
          <w:szCs w:val="24"/>
        </w:rPr>
        <w:t xml:space="preserve">If Member States have any measured data, they are expected to provide them otherwise they will provide their best estimates. </w:t>
      </w:r>
    </w:p>
    <w:p w:rsidR="00CF6961" w:rsidRPr="00CF6961" w:rsidRDefault="00CF6961" w:rsidP="00CF6961">
      <w:pPr>
        <w:jc w:val="both"/>
        <w:rPr>
          <w:rFonts w:asciiTheme="minorHAnsi" w:hAnsiTheme="minorHAnsi" w:cstheme="minorHAnsi"/>
          <w:sz w:val="24"/>
          <w:szCs w:val="24"/>
        </w:rPr>
      </w:pPr>
      <w:r>
        <w:rPr>
          <w:rFonts w:asciiTheme="minorHAnsi" w:hAnsiTheme="minorHAnsi" w:cstheme="minorHAnsi"/>
          <w:sz w:val="24"/>
          <w:szCs w:val="24"/>
        </w:rPr>
        <w:t>T</w:t>
      </w:r>
      <w:r w:rsidRPr="00CF6961">
        <w:rPr>
          <w:rFonts w:asciiTheme="minorHAnsi" w:hAnsiTheme="minorHAnsi" w:cstheme="minorHAnsi"/>
          <w:sz w:val="24"/>
          <w:szCs w:val="24"/>
        </w:rPr>
        <w:t xml:space="preserve">he Commission, together with the EEA, has developed the reporting tool that also include a field </w:t>
      </w:r>
      <w:proofErr w:type="gramStart"/>
      <w:r w:rsidRPr="00CF6961">
        <w:rPr>
          <w:rFonts w:asciiTheme="minorHAnsi" w:hAnsiTheme="minorHAnsi" w:cstheme="minorHAnsi"/>
          <w:sz w:val="24"/>
          <w:szCs w:val="24"/>
        </w:rPr>
        <w:t>“comments”</w:t>
      </w:r>
      <w:proofErr w:type="gramEnd"/>
      <w:r w:rsidRPr="00CF6961">
        <w:rPr>
          <w:rFonts w:asciiTheme="minorHAnsi" w:hAnsiTheme="minorHAnsi" w:cstheme="minorHAnsi"/>
          <w:sz w:val="24"/>
          <w:szCs w:val="24"/>
        </w:rPr>
        <w:t xml:space="preserve">. </w:t>
      </w:r>
      <w:r>
        <w:rPr>
          <w:rFonts w:asciiTheme="minorHAnsi" w:hAnsiTheme="minorHAnsi" w:cstheme="minorHAnsi"/>
          <w:sz w:val="24"/>
          <w:szCs w:val="24"/>
        </w:rPr>
        <w:t>That allows reporters to clarify the type</w:t>
      </w:r>
      <w:r w:rsidRPr="00CF6961">
        <w:rPr>
          <w:rFonts w:asciiTheme="minorHAnsi" w:hAnsiTheme="minorHAnsi" w:cstheme="minorHAnsi"/>
          <w:sz w:val="24"/>
          <w:szCs w:val="24"/>
        </w:rPr>
        <w:t xml:space="preserve"> of data provide</w:t>
      </w:r>
      <w:r>
        <w:rPr>
          <w:rFonts w:asciiTheme="minorHAnsi" w:hAnsiTheme="minorHAnsi" w:cstheme="minorHAnsi"/>
          <w:sz w:val="24"/>
          <w:szCs w:val="24"/>
        </w:rPr>
        <w:t>d</w:t>
      </w:r>
      <w:r w:rsidRPr="00CF6961">
        <w:rPr>
          <w:rFonts w:asciiTheme="minorHAnsi" w:hAnsiTheme="minorHAnsi" w:cstheme="minorHAnsi"/>
          <w:sz w:val="24"/>
          <w:szCs w:val="24"/>
        </w:rPr>
        <w:t xml:space="preserve"> </w:t>
      </w:r>
      <w:r>
        <w:rPr>
          <w:rFonts w:asciiTheme="minorHAnsi" w:hAnsiTheme="minorHAnsi" w:cstheme="minorHAnsi"/>
          <w:sz w:val="24"/>
          <w:szCs w:val="24"/>
        </w:rPr>
        <w:t xml:space="preserve">and </w:t>
      </w:r>
      <w:r w:rsidRPr="00CF6961">
        <w:rPr>
          <w:rFonts w:asciiTheme="minorHAnsi" w:hAnsiTheme="minorHAnsi" w:cstheme="minorHAnsi"/>
          <w:sz w:val="24"/>
          <w:szCs w:val="24"/>
        </w:rPr>
        <w:t xml:space="preserve">information on how robust the provided data are (e.g. you note in the “comment field” if you provide information based on estimates or based on measurements including measurements methods). </w:t>
      </w:r>
    </w:p>
    <w:p w:rsidR="00CF6961" w:rsidRPr="00CF6961" w:rsidRDefault="00CF6961" w:rsidP="00CF6961">
      <w:pPr>
        <w:jc w:val="both"/>
        <w:rPr>
          <w:rFonts w:asciiTheme="minorHAnsi" w:hAnsiTheme="minorHAnsi" w:cstheme="minorHAnsi"/>
          <w:b/>
          <w:sz w:val="24"/>
          <w:szCs w:val="24"/>
        </w:rPr>
      </w:pPr>
      <w:r w:rsidRPr="00CF6961">
        <w:rPr>
          <w:rFonts w:asciiTheme="minorHAnsi" w:hAnsiTheme="minorHAnsi" w:cstheme="minorHAnsi"/>
          <w:b/>
          <w:sz w:val="24"/>
          <w:szCs w:val="24"/>
        </w:rPr>
        <w:t>In conclusion:</w:t>
      </w:r>
    </w:p>
    <w:p w:rsidR="00CF6961" w:rsidRPr="00CF6961" w:rsidRDefault="00CF6961" w:rsidP="00CF6961">
      <w:pPr>
        <w:jc w:val="both"/>
        <w:rPr>
          <w:rFonts w:asciiTheme="minorHAnsi" w:hAnsiTheme="minorHAnsi" w:cstheme="minorHAnsi"/>
          <w:sz w:val="24"/>
          <w:szCs w:val="24"/>
        </w:rPr>
      </w:pPr>
      <w:r w:rsidRPr="00CF6961">
        <w:rPr>
          <w:rFonts w:asciiTheme="minorHAnsi" w:hAnsiTheme="minorHAnsi" w:cstheme="minorHAnsi"/>
          <w:b/>
          <w:sz w:val="24"/>
          <w:szCs w:val="24"/>
        </w:rPr>
        <w:t>For the purposes of this reporting obligation information based on currently available data or measurements are acceptable. There is no need to gather new data. If you have no measured data please do your best estimates instead</w:t>
      </w:r>
      <w:r w:rsidRPr="00CF6961">
        <w:rPr>
          <w:rFonts w:asciiTheme="minorHAnsi" w:hAnsiTheme="minorHAnsi" w:cstheme="minorHAnsi"/>
          <w:sz w:val="24"/>
          <w:szCs w:val="24"/>
        </w:rPr>
        <w:t>.</w:t>
      </w:r>
    </w:p>
    <w:p w:rsidR="003C5353" w:rsidRDefault="003C5353" w:rsidP="00CF6961">
      <w:pPr>
        <w:rPr>
          <w:rFonts w:asciiTheme="minorHAnsi" w:hAnsiTheme="minorHAnsi" w:cstheme="minorHAnsi"/>
          <w:sz w:val="22"/>
        </w:rPr>
      </w:pPr>
    </w:p>
    <w:p w:rsidR="00A8440D" w:rsidRDefault="00A8440D" w:rsidP="00A8440D">
      <w:pPr>
        <w:tabs>
          <w:tab w:val="left" w:pos="2858"/>
        </w:tabs>
        <w:rPr>
          <w:rFonts w:asciiTheme="minorHAnsi" w:hAnsiTheme="minorHAnsi" w:cstheme="minorHAnsi"/>
          <w:sz w:val="22"/>
        </w:rPr>
      </w:pPr>
      <w:r>
        <w:rPr>
          <w:rFonts w:asciiTheme="minorHAnsi" w:hAnsiTheme="minorHAnsi" w:cstheme="minorHAnsi"/>
          <w:sz w:val="22"/>
        </w:rPr>
        <w:tab/>
      </w:r>
    </w:p>
    <w:p w:rsidR="00A8440D" w:rsidRDefault="00A8440D">
      <w:pPr>
        <w:rPr>
          <w:rFonts w:asciiTheme="minorHAnsi" w:hAnsiTheme="minorHAnsi" w:cstheme="minorHAnsi"/>
          <w:sz w:val="22"/>
        </w:rPr>
      </w:pPr>
      <w:r>
        <w:rPr>
          <w:rFonts w:asciiTheme="minorHAnsi" w:hAnsiTheme="minorHAnsi" w:cstheme="minorHAnsi"/>
          <w:sz w:val="22"/>
        </w:rPr>
        <w:br w:type="page"/>
      </w:r>
    </w:p>
    <w:p w:rsidR="00A8440D" w:rsidRPr="00A8440D" w:rsidRDefault="00A8440D" w:rsidP="00A8440D">
      <w:pPr>
        <w:pStyle w:val="ListParagraph"/>
        <w:numPr>
          <w:ilvl w:val="0"/>
          <w:numId w:val="4"/>
        </w:numPr>
        <w:rPr>
          <w:rFonts w:asciiTheme="minorHAnsi" w:eastAsia="Times New Roman" w:hAnsiTheme="minorHAnsi" w:cstheme="minorHAnsi"/>
          <w:b/>
          <w:sz w:val="28"/>
          <w:szCs w:val="28"/>
          <w:highlight w:val="cyan"/>
        </w:rPr>
      </w:pPr>
      <w:r w:rsidRPr="00A8440D">
        <w:rPr>
          <w:rFonts w:asciiTheme="minorHAnsi" w:eastAsia="Times New Roman" w:hAnsiTheme="minorHAnsi" w:cstheme="minorHAnsi"/>
          <w:b/>
          <w:sz w:val="28"/>
          <w:szCs w:val="28"/>
          <w:highlight w:val="cyan"/>
        </w:rPr>
        <w:lastRenderedPageBreak/>
        <w:t>mixed fuels</w:t>
      </w:r>
    </w:p>
    <w:p w:rsidR="00A8440D" w:rsidRDefault="00A8440D" w:rsidP="00A8440D">
      <w:pPr>
        <w:pStyle w:val="NormalWeb"/>
        <w:shd w:val="clear" w:color="auto" w:fill="FFFFFF"/>
        <w:spacing w:before="0" w:beforeAutospacing="0" w:after="0" w:afterAutospacing="0"/>
        <w:ind w:left="3588"/>
        <w:rPr>
          <w:rFonts w:ascii="Calibri" w:hAnsi="Calibri" w:cs="Calibri"/>
          <w:color w:val="000000"/>
          <w:sz w:val="22"/>
          <w:szCs w:val="22"/>
          <w:bdr w:val="none" w:sz="0" w:space="0" w:color="auto" w:frame="1"/>
          <w:lang w:val="en-US"/>
        </w:rPr>
      </w:pPr>
    </w:p>
    <w:p w:rsidR="00A8440D" w:rsidRPr="00A8440D" w:rsidRDefault="00A8440D" w:rsidP="00140CBF">
      <w:pPr>
        <w:pStyle w:val="ListParagraph"/>
        <w:numPr>
          <w:ilvl w:val="0"/>
          <w:numId w:val="5"/>
        </w:numPr>
        <w:ind w:left="714" w:hanging="357"/>
        <w:jc w:val="both"/>
        <w:rPr>
          <w:rFonts w:asciiTheme="minorHAnsi" w:eastAsia="Times New Roman" w:hAnsiTheme="minorHAnsi" w:cstheme="minorHAnsi"/>
          <w:b/>
          <w:sz w:val="28"/>
          <w:szCs w:val="28"/>
        </w:rPr>
      </w:pPr>
      <w:r w:rsidRPr="00A8440D">
        <w:rPr>
          <w:rFonts w:asciiTheme="minorHAnsi" w:eastAsia="Times New Roman" w:hAnsiTheme="minorHAnsi" w:cstheme="minorHAnsi"/>
          <w:b/>
          <w:sz w:val="28"/>
          <w:szCs w:val="28"/>
        </w:rPr>
        <w:t>Is there</w:t>
      </w:r>
      <w:r w:rsidRPr="00A8440D">
        <w:rPr>
          <w:rFonts w:asciiTheme="minorHAnsi" w:eastAsia="Times New Roman" w:hAnsiTheme="minorHAnsi" w:cstheme="minorHAnsi"/>
          <w:b/>
          <w:sz w:val="28"/>
          <w:szCs w:val="28"/>
        </w:rPr>
        <w:t xml:space="preserve"> a definition </w:t>
      </w:r>
      <w:r w:rsidRPr="00A8440D">
        <w:rPr>
          <w:rFonts w:asciiTheme="minorHAnsi" w:eastAsia="Times New Roman" w:hAnsiTheme="minorHAnsi" w:cstheme="minorHAnsi"/>
          <w:b/>
          <w:sz w:val="28"/>
          <w:szCs w:val="28"/>
        </w:rPr>
        <w:t>for</w:t>
      </w:r>
      <w:r w:rsidRPr="00A8440D">
        <w:rPr>
          <w:rFonts w:asciiTheme="minorHAnsi" w:eastAsia="Times New Roman" w:hAnsiTheme="minorHAnsi" w:cstheme="minorHAnsi"/>
          <w:b/>
          <w:sz w:val="28"/>
          <w:szCs w:val="28"/>
        </w:rPr>
        <w:t xml:space="preserve"> “mixed fuel”</w:t>
      </w:r>
      <w:r w:rsidRPr="00A8440D">
        <w:rPr>
          <w:rFonts w:asciiTheme="minorHAnsi" w:eastAsia="Times New Roman" w:hAnsiTheme="minorHAnsi" w:cstheme="minorHAnsi"/>
          <w:b/>
          <w:sz w:val="28"/>
          <w:szCs w:val="28"/>
        </w:rPr>
        <w:t>?</w:t>
      </w:r>
    </w:p>
    <w:p w:rsidR="00A8440D" w:rsidRPr="00A8440D" w:rsidRDefault="00A8440D" w:rsidP="00140CBF">
      <w:pPr>
        <w:jc w:val="both"/>
        <w:rPr>
          <w:rFonts w:asciiTheme="minorHAnsi" w:eastAsia="Times New Roman" w:hAnsiTheme="minorHAnsi" w:cstheme="minorHAnsi"/>
          <w:b/>
          <w:sz w:val="28"/>
          <w:szCs w:val="28"/>
        </w:rPr>
      </w:pPr>
      <w:r w:rsidRPr="00A8440D">
        <w:rPr>
          <w:rFonts w:asciiTheme="minorHAnsi" w:eastAsia="Times New Roman" w:hAnsiTheme="minorHAnsi" w:cstheme="minorHAnsi"/>
          <w:b/>
          <w:sz w:val="28"/>
          <w:szCs w:val="28"/>
        </w:rPr>
        <w:t>For example, in the MCPD Information Exchange, a plant firing more than 90 % of a single fuel was classified as a plant using that single fuel.</w:t>
      </w:r>
    </w:p>
    <w:p w:rsidR="00A8440D" w:rsidRPr="00140CBF" w:rsidRDefault="00A8440D" w:rsidP="00140CBF">
      <w:pPr>
        <w:spacing w:after="0" w:line="240" w:lineRule="auto"/>
        <w:jc w:val="both"/>
        <w:rPr>
          <w:rFonts w:asciiTheme="minorHAnsi" w:eastAsia="Times New Roman" w:hAnsiTheme="minorHAnsi" w:cstheme="minorHAnsi"/>
          <w:b/>
          <w:sz w:val="22"/>
          <w:szCs w:val="28"/>
        </w:rPr>
      </w:pPr>
      <w:proofErr w:type="gramStart"/>
      <w:r w:rsidRPr="00140CBF">
        <w:rPr>
          <w:rFonts w:asciiTheme="minorHAnsi" w:eastAsia="Times New Roman" w:hAnsiTheme="minorHAnsi" w:cstheme="minorHAnsi"/>
          <w:b/>
          <w:sz w:val="22"/>
          <w:szCs w:val="28"/>
        </w:rPr>
        <w:t>Examples :</w:t>
      </w:r>
      <w:proofErr w:type="gramEnd"/>
      <w:r w:rsidRPr="00140CBF">
        <w:rPr>
          <w:rFonts w:asciiTheme="minorHAnsi" w:eastAsia="Times New Roman" w:hAnsiTheme="minorHAnsi" w:cstheme="minorHAnsi"/>
          <w:b/>
          <w:sz w:val="22"/>
          <w:szCs w:val="28"/>
        </w:rPr>
        <w:t xml:space="preserve"> </w:t>
      </w:r>
      <w:r w:rsidRPr="00140CBF">
        <w:rPr>
          <w:rFonts w:asciiTheme="minorHAnsi" w:eastAsia="Times New Roman" w:hAnsiTheme="minorHAnsi" w:cstheme="minorHAnsi"/>
          <w:b/>
          <w:sz w:val="22"/>
          <w:szCs w:val="28"/>
        </w:rPr>
        <w:tab/>
      </w:r>
    </w:p>
    <w:p w:rsidR="00A8440D" w:rsidRPr="00140CBF" w:rsidRDefault="00A8440D" w:rsidP="00140CBF">
      <w:pPr>
        <w:spacing w:line="240" w:lineRule="auto"/>
        <w:ind w:left="720" w:firstLine="720"/>
        <w:jc w:val="both"/>
        <w:rPr>
          <w:rFonts w:asciiTheme="minorHAnsi" w:eastAsia="Times New Roman" w:hAnsiTheme="minorHAnsi" w:cstheme="minorHAnsi"/>
          <w:b/>
          <w:sz w:val="22"/>
          <w:szCs w:val="28"/>
        </w:rPr>
      </w:pPr>
      <w:r w:rsidRPr="00140CBF">
        <w:rPr>
          <w:rFonts w:asciiTheme="minorHAnsi" w:eastAsia="Times New Roman" w:hAnsiTheme="minorHAnsi" w:cstheme="minorHAnsi"/>
          <w:b/>
          <w:sz w:val="22"/>
          <w:szCs w:val="28"/>
        </w:rPr>
        <w:t>An installation firing 80 % natural gas and 20 % fuel oil was classified as “installation firing multiple fuel”.</w:t>
      </w:r>
    </w:p>
    <w:p w:rsidR="00A8440D" w:rsidRPr="00140CBF" w:rsidRDefault="00A8440D" w:rsidP="00140CBF">
      <w:pPr>
        <w:spacing w:line="240" w:lineRule="auto"/>
        <w:ind w:left="720" w:firstLine="720"/>
        <w:jc w:val="both"/>
        <w:rPr>
          <w:rFonts w:asciiTheme="minorHAnsi" w:eastAsia="Times New Roman" w:hAnsiTheme="minorHAnsi" w:cstheme="minorHAnsi"/>
          <w:b/>
          <w:sz w:val="22"/>
          <w:szCs w:val="28"/>
        </w:rPr>
      </w:pPr>
      <w:r w:rsidRPr="00140CBF">
        <w:rPr>
          <w:rFonts w:asciiTheme="minorHAnsi" w:eastAsia="Times New Roman" w:hAnsiTheme="minorHAnsi" w:cstheme="minorHAnsi"/>
          <w:b/>
          <w:sz w:val="22"/>
          <w:szCs w:val="28"/>
        </w:rPr>
        <w:t>An installation firing 91 % natural gas and 9 % fuel oil was classified as “installation firing natural gas”.</w:t>
      </w:r>
    </w:p>
    <w:p w:rsidR="00A8440D" w:rsidRDefault="00A8440D" w:rsidP="00140CBF">
      <w:pPr>
        <w:pStyle w:val="ListParagraph"/>
        <w:numPr>
          <w:ilvl w:val="0"/>
          <w:numId w:val="5"/>
        </w:numPr>
        <w:spacing w:before="360"/>
        <w:ind w:left="714" w:hanging="357"/>
        <w:contextualSpacing w:val="0"/>
        <w:jc w:val="both"/>
        <w:rPr>
          <w:rFonts w:asciiTheme="minorHAnsi" w:eastAsia="Times New Roman" w:hAnsiTheme="minorHAnsi" w:cstheme="minorHAnsi"/>
          <w:b/>
          <w:sz w:val="28"/>
          <w:szCs w:val="28"/>
        </w:rPr>
      </w:pPr>
      <w:r w:rsidRPr="00A8440D">
        <w:rPr>
          <w:rFonts w:asciiTheme="minorHAnsi" w:eastAsia="Times New Roman" w:hAnsiTheme="minorHAnsi" w:cstheme="minorHAnsi"/>
          <w:b/>
          <w:sz w:val="28"/>
          <w:szCs w:val="28"/>
        </w:rPr>
        <w:t>Another important question is whether the two or more fuels have to be fired simultaneously or one after another to be considered as “mixed fuel”.</w:t>
      </w:r>
    </w:p>
    <w:p w:rsidR="00A8440D" w:rsidRPr="00A8440D" w:rsidRDefault="00A8440D" w:rsidP="00A8440D">
      <w:pPr>
        <w:jc w:val="both"/>
        <w:rPr>
          <w:rFonts w:asciiTheme="minorHAnsi" w:hAnsiTheme="minorHAnsi" w:cstheme="minorHAnsi"/>
          <w:sz w:val="24"/>
          <w:szCs w:val="24"/>
        </w:rPr>
      </w:pPr>
      <w:r w:rsidRPr="00A8440D">
        <w:rPr>
          <w:rFonts w:asciiTheme="minorHAnsi" w:hAnsiTheme="minorHAnsi" w:cstheme="minorHAnsi"/>
          <w:sz w:val="24"/>
          <w:szCs w:val="24"/>
        </w:rPr>
        <w:t>The Medium Combustion Plants Directive (MCPD) does not provide a definition of a “multi- fuel firing combustion plant”.</w:t>
      </w:r>
    </w:p>
    <w:p w:rsidR="00A8440D" w:rsidRPr="00140CBF" w:rsidRDefault="00A8440D" w:rsidP="00A8440D">
      <w:pPr>
        <w:jc w:val="both"/>
        <w:rPr>
          <w:rFonts w:asciiTheme="minorHAnsi" w:hAnsiTheme="minorHAnsi" w:cstheme="minorHAnsi"/>
          <w:b/>
          <w:sz w:val="24"/>
          <w:szCs w:val="24"/>
        </w:rPr>
      </w:pPr>
      <w:r w:rsidRPr="00A8440D">
        <w:rPr>
          <w:rFonts w:asciiTheme="minorHAnsi" w:hAnsiTheme="minorHAnsi" w:cstheme="minorHAnsi"/>
          <w:sz w:val="24"/>
          <w:szCs w:val="24"/>
        </w:rPr>
        <w:t xml:space="preserve">However, under Article 3(32) of the Industrial Emissions Directive (IED) </w:t>
      </w:r>
      <w:r w:rsidRPr="00140CBF">
        <w:rPr>
          <w:rFonts w:asciiTheme="minorHAnsi" w:hAnsiTheme="minorHAnsi" w:cstheme="minorHAnsi"/>
          <w:sz w:val="24"/>
          <w:szCs w:val="24"/>
        </w:rPr>
        <w:t>any combustion plant which may be fired simultaneously or alternately by two or more fuel types is considered a “multi- fuel firing combustion plant”.</w:t>
      </w:r>
    </w:p>
    <w:p w:rsidR="00A8440D" w:rsidRPr="00A8440D" w:rsidRDefault="00A8440D" w:rsidP="00A8440D">
      <w:pPr>
        <w:jc w:val="both"/>
        <w:rPr>
          <w:rFonts w:asciiTheme="minorHAnsi" w:hAnsiTheme="minorHAnsi" w:cstheme="minorHAnsi"/>
          <w:sz w:val="24"/>
          <w:szCs w:val="24"/>
        </w:rPr>
      </w:pPr>
      <w:r w:rsidRPr="00A8440D">
        <w:rPr>
          <w:rFonts w:asciiTheme="minorHAnsi" w:hAnsiTheme="minorHAnsi" w:cstheme="minorHAnsi"/>
          <w:sz w:val="24"/>
          <w:szCs w:val="24"/>
        </w:rPr>
        <w:t xml:space="preserve">Therefore, in the context of this reporting obligation we rely on the IED approach and </w:t>
      </w:r>
      <w:proofErr w:type="gramStart"/>
      <w:r w:rsidRPr="00A8440D">
        <w:rPr>
          <w:rFonts w:asciiTheme="minorHAnsi" w:hAnsiTheme="minorHAnsi" w:cstheme="minorHAnsi"/>
          <w:sz w:val="24"/>
          <w:szCs w:val="24"/>
        </w:rPr>
        <w:t>classify  both</w:t>
      </w:r>
      <w:proofErr w:type="gramEnd"/>
      <w:r w:rsidRPr="00A8440D">
        <w:rPr>
          <w:rFonts w:asciiTheme="minorHAnsi" w:hAnsiTheme="minorHAnsi" w:cstheme="minorHAnsi"/>
          <w:sz w:val="24"/>
          <w:szCs w:val="24"/>
        </w:rPr>
        <w:t xml:space="preserve"> multi-firing cases, either the simultaneous use of two or more fuels or the use of one or more fuels one after the other in a combustion plant, under the category “mixed fuel”.</w:t>
      </w:r>
    </w:p>
    <w:p w:rsidR="00A8440D" w:rsidRPr="00A8440D" w:rsidRDefault="00A8440D" w:rsidP="00A8440D">
      <w:pPr>
        <w:jc w:val="both"/>
        <w:rPr>
          <w:rFonts w:asciiTheme="minorHAnsi" w:hAnsiTheme="minorHAnsi" w:cstheme="minorHAnsi"/>
          <w:sz w:val="24"/>
          <w:szCs w:val="24"/>
        </w:rPr>
      </w:pPr>
      <w:r w:rsidRPr="00A8440D">
        <w:rPr>
          <w:rFonts w:asciiTheme="minorHAnsi" w:hAnsiTheme="minorHAnsi" w:cstheme="minorHAnsi"/>
          <w:sz w:val="24"/>
          <w:szCs w:val="24"/>
        </w:rPr>
        <w:t xml:space="preserve">There is no definition </w:t>
      </w:r>
      <w:proofErr w:type="gramStart"/>
      <w:r w:rsidRPr="00A8440D">
        <w:rPr>
          <w:rFonts w:asciiTheme="minorHAnsi" w:hAnsiTheme="minorHAnsi" w:cstheme="minorHAnsi"/>
          <w:sz w:val="24"/>
          <w:szCs w:val="24"/>
        </w:rPr>
        <w:t>in  the</w:t>
      </w:r>
      <w:proofErr w:type="gramEnd"/>
      <w:r w:rsidRPr="00A8440D">
        <w:rPr>
          <w:rFonts w:asciiTheme="minorHAnsi" w:hAnsiTheme="minorHAnsi" w:cstheme="minorHAnsi"/>
          <w:sz w:val="24"/>
          <w:szCs w:val="24"/>
        </w:rPr>
        <w:t xml:space="preserve"> above mentioned  Directives related to the proportion of the determinative fuel for a multi-fuel plant in order to be to be classified as single fuel combustion plant.</w:t>
      </w:r>
    </w:p>
    <w:p w:rsidR="00A8440D" w:rsidRPr="00A8440D" w:rsidRDefault="00A8440D" w:rsidP="00A8440D">
      <w:pPr>
        <w:jc w:val="both"/>
        <w:rPr>
          <w:rFonts w:asciiTheme="minorHAnsi" w:hAnsiTheme="minorHAnsi" w:cstheme="minorHAnsi"/>
          <w:sz w:val="24"/>
          <w:szCs w:val="24"/>
        </w:rPr>
      </w:pPr>
      <w:r w:rsidRPr="00A8440D">
        <w:rPr>
          <w:rFonts w:asciiTheme="minorHAnsi" w:hAnsiTheme="minorHAnsi" w:cstheme="minorHAnsi"/>
          <w:sz w:val="24"/>
          <w:szCs w:val="24"/>
        </w:rPr>
        <w:t xml:space="preserve">Based on the approach accepted by the working group established under the MCPD Information Exchange study we can consider a fuel used in proportion above 90 </w:t>
      </w:r>
      <w:proofErr w:type="gramStart"/>
      <w:r w:rsidRPr="00A8440D">
        <w:rPr>
          <w:rFonts w:asciiTheme="minorHAnsi" w:hAnsiTheme="minorHAnsi" w:cstheme="minorHAnsi"/>
          <w:sz w:val="24"/>
          <w:szCs w:val="24"/>
        </w:rPr>
        <w:t>%  of</w:t>
      </w:r>
      <w:proofErr w:type="gramEnd"/>
      <w:r w:rsidRPr="00A8440D">
        <w:rPr>
          <w:rFonts w:asciiTheme="minorHAnsi" w:hAnsiTheme="minorHAnsi" w:cstheme="minorHAnsi"/>
          <w:sz w:val="24"/>
          <w:szCs w:val="24"/>
        </w:rPr>
        <w:t xml:space="preserve"> its total thermal fuel input as determinative fuel to classify a plant as a single fuel plant.</w:t>
      </w:r>
      <w:bookmarkStart w:id="0" w:name="_GoBack"/>
      <w:bookmarkEnd w:id="0"/>
    </w:p>
    <w:p w:rsidR="00A8440D" w:rsidRPr="00A8440D" w:rsidRDefault="00A8440D" w:rsidP="00A8440D">
      <w:pPr>
        <w:rPr>
          <w:rFonts w:asciiTheme="minorHAnsi" w:eastAsia="Times New Roman" w:hAnsiTheme="minorHAnsi" w:cstheme="minorHAnsi"/>
          <w:b/>
          <w:sz w:val="28"/>
          <w:szCs w:val="28"/>
        </w:rPr>
      </w:pPr>
    </w:p>
    <w:p w:rsidR="00A8440D" w:rsidRPr="00A8440D" w:rsidRDefault="00A8440D" w:rsidP="00A8440D">
      <w:pPr>
        <w:rPr>
          <w:rFonts w:asciiTheme="minorHAnsi" w:eastAsia="Times New Roman" w:hAnsiTheme="minorHAnsi" w:cstheme="minorHAnsi"/>
          <w:b/>
          <w:sz w:val="28"/>
          <w:szCs w:val="28"/>
        </w:rPr>
      </w:pPr>
    </w:p>
    <w:p w:rsidR="00A8440D" w:rsidRDefault="00A8440D" w:rsidP="00CF6961">
      <w:pPr>
        <w:rPr>
          <w:rFonts w:asciiTheme="minorHAnsi" w:hAnsiTheme="minorHAnsi" w:cstheme="minorHAnsi"/>
          <w:sz w:val="22"/>
        </w:rPr>
      </w:pPr>
    </w:p>
    <w:sectPr w:rsidR="00A8440D" w:rsidSect="00D726A3">
      <w:headerReference w:type="default" r:id="rId8"/>
      <w:headerReference w:type="first" r:id="rId9"/>
      <w:footerReference w:type="first" r:id="rId10"/>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06" w:rsidRDefault="00513C06" w:rsidP="00EF6A0F">
      <w:pPr>
        <w:spacing w:after="0" w:line="240" w:lineRule="auto"/>
      </w:pPr>
      <w:r>
        <w:separator/>
      </w:r>
    </w:p>
  </w:endnote>
  <w:endnote w:type="continuationSeparator" w:id="0">
    <w:p w:rsidR="00513C06" w:rsidRDefault="00513C06" w:rsidP="00EF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064" w:rsidRPr="004727E3" w:rsidRDefault="00EF3064" w:rsidP="005F0899">
    <w:pPr>
      <w:pStyle w:val="Footer"/>
    </w:pPr>
    <w:r w:rsidRPr="004727E3">
      <w:rPr>
        <w:noProof/>
        <w:lang w:val="en-US"/>
      </w:rPr>
      <mc:AlternateContent>
        <mc:Choice Requires="wps">
          <w:drawing>
            <wp:anchor distT="0" distB="0" distL="114300" distR="114300" simplePos="0" relativeHeight="251664384" behindDoc="0" locked="0" layoutInCell="1" allowOverlap="1" wp14:anchorId="5F7F3B1D" wp14:editId="2F0BB1DC">
              <wp:simplePos x="0" y="0"/>
              <wp:positionH relativeFrom="column">
                <wp:posOffset>4806391</wp:posOffset>
              </wp:positionH>
              <wp:positionV relativeFrom="page">
                <wp:posOffset>9607436</wp:posOffset>
              </wp:positionV>
              <wp:extent cx="1551305" cy="9550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955040"/>
                      </a:xfrm>
                      <a:prstGeom prst="rect">
                        <a:avLst/>
                      </a:prstGeom>
                      <a:solidFill>
                        <a:srgbClr val="FFFFFF"/>
                      </a:solidFill>
                      <a:ln w="9525">
                        <a:noFill/>
                        <a:miter lim="800000"/>
                        <a:headEnd/>
                        <a:tailEnd/>
                      </a:ln>
                    </wps:spPr>
                    <wps:txbx>
                      <w:txbxContent>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Kongens Nytorv 6</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1050 Copenhagen K</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Denmark</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 xml:space="preserve">Tel.: +45 3336 </w:t>
                          </w:r>
                          <w:r w:rsidR="00717D31" w:rsidRPr="00314570">
                            <w:rPr>
                              <w:rFonts w:asciiTheme="minorHAnsi" w:hAnsiTheme="minorHAnsi" w:cstheme="minorHAnsi"/>
                              <w:sz w:val="18"/>
                              <w:lang w:val="nb-NO"/>
                            </w:rPr>
                            <w:t>7100</w:t>
                          </w:r>
                        </w:p>
                        <w:p w:rsidR="00EF3064" w:rsidRPr="00324336" w:rsidRDefault="00717D31" w:rsidP="005F0899">
                          <w:pPr>
                            <w:pStyle w:val="Footer"/>
                            <w:rPr>
                              <w:rFonts w:asciiTheme="minorHAnsi" w:hAnsiTheme="minorHAnsi" w:cstheme="minorHAnsi"/>
                              <w:sz w:val="18"/>
                            </w:rPr>
                          </w:pPr>
                          <w:r w:rsidRPr="00324336">
                            <w:rPr>
                              <w:rFonts w:asciiTheme="minorHAnsi" w:hAnsiTheme="minorHAnsi" w:cstheme="minorHAnsi"/>
                              <w:sz w:val="18"/>
                            </w:rPr>
                            <w:t>Fax: +45 3336 7199</w:t>
                          </w:r>
                        </w:p>
                        <w:p w:rsidR="00AC4458" w:rsidRPr="00324336" w:rsidRDefault="00513C06" w:rsidP="005F0899">
                          <w:pPr>
                            <w:pStyle w:val="Footer"/>
                            <w:rPr>
                              <w:rFonts w:asciiTheme="minorHAnsi" w:hAnsiTheme="minorHAnsi" w:cstheme="minorHAnsi"/>
                              <w:sz w:val="18"/>
                            </w:rPr>
                          </w:pPr>
                          <w:hyperlink r:id="rId1" w:history="1">
                            <w:r w:rsidR="00AC4458" w:rsidRPr="00324336">
                              <w:rPr>
                                <w:rStyle w:val="Hyperlink"/>
                                <w:rFonts w:asciiTheme="minorHAnsi" w:hAnsiTheme="minorHAnsi" w:cstheme="minorHAnsi"/>
                                <w:sz w:val="18"/>
                              </w:rPr>
                              <w:t>eea.europa.eu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F3B1D" id="_x0000_t202" coordsize="21600,21600" o:spt="202" path="m,l,21600r21600,l21600,xe">
              <v:stroke joinstyle="miter"/>
              <v:path gradientshapeok="t" o:connecttype="rect"/>
            </v:shapetype>
            <v:shape id="Text Box 2" o:spid="_x0000_s1026" type="#_x0000_t202" style="position:absolute;left:0;text-align:left;margin-left:378.45pt;margin-top:756.5pt;width:122.15pt;height:7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" stroked="f">
              <v:textbox>
                <w:txbxContent>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Kongens Nytorv 6</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1050 Copenhagen K</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Denmark</w:t>
                    </w:r>
                  </w:p>
                  <w:p w:rsidR="005F0899" w:rsidRPr="00314570" w:rsidRDefault="00EF3064" w:rsidP="005F0899">
                    <w:pPr>
                      <w:pStyle w:val="Footer"/>
                      <w:rPr>
                        <w:rFonts w:asciiTheme="minorHAnsi" w:hAnsiTheme="minorHAnsi" w:cstheme="minorHAnsi"/>
                        <w:sz w:val="18"/>
                        <w:lang w:val="nb-NO"/>
                      </w:rPr>
                    </w:pPr>
                    <w:r w:rsidRPr="00314570">
                      <w:rPr>
                        <w:rFonts w:asciiTheme="minorHAnsi" w:hAnsiTheme="minorHAnsi" w:cstheme="minorHAnsi"/>
                        <w:sz w:val="18"/>
                        <w:lang w:val="nb-NO"/>
                      </w:rPr>
                      <w:t xml:space="preserve">Tel.: +45 3336 </w:t>
                    </w:r>
                    <w:r w:rsidR="00717D31" w:rsidRPr="00314570">
                      <w:rPr>
                        <w:rFonts w:asciiTheme="minorHAnsi" w:hAnsiTheme="minorHAnsi" w:cstheme="minorHAnsi"/>
                        <w:sz w:val="18"/>
                        <w:lang w:val="nb-NO"/>
                      </w:rPr>
                      <w:t>7100</w:t>
                    </w:r>
                  </w:p>
                  <w:p w:rsidR="00EF3064" w:rsidRPr="00324336" w:rsidRDefault="00717D31" w:rsidP="005F0899">
                    <w:pPr>
                      <w:pStyle w:val="Footer"/>
                      <w:rPr>
                        <w:rFonts w:asciiTheme="minorHAnsi" w:hAnsiTheme="minorHAnsi" w:cstheme="minorHAnsi"/>
                        <w:sz w:val="18"/>
                      </w:rPr>
                    </w:pPr>
                    <w:r w:rsidRPr="00324336">
                      <w:rPr>
                        <w:rFonts w:asciiTheme="minorHAnsi" w:hAnsiTheme="minorHAnsi" w:cstheme="minorHAnsi"/>
                        <w:sz w:val="18"/>
                      </w:rPr>
                      <w:t>Fax: +45 3336 7199</w:t>
                    </w:r>
                  </w:p>
                  <w:p w:rsidR="00AC4458" w:rsidRPr="00324336" w:rsidRDefault="00513C06" w:rsidP="005F0899">
                    <w:pPr>
                      <w:pStyle w:val="Footer"/>
                      <w:rPr>
                        <w:rFonts w:asciiTheme="minorHAnsi" w:hAnsiTheme="minorHAnsi" w:cstheme="minorHAnsi"/>
                        <w:sz w:val="18"/>
                      </w:rPr>
                    </w:pPr>
                    <w:hyperlink r:id="rId2" w:history="1">
                      <w:r w:rsidR="00AC4458" w:rsidRPr="00324336">
                        <w:rPr>
                          <w:rStyle w:val="Hyperlink"/>
                          <w:rFonts w:asciiTheme="minorHAnsi" w:hAnsiTheme="minorHAnsi" w:cstheme="minorHAnsi"/>
                          <w:sz w:val="18"/>
                        </w:rPr>
                        <w:t>eea.europa.eu</w:t>
                      </w:r>
                    </w:hyperlink>
                  </w:p>
                </w:txbxContent>
              </v:textbox>
              <w10:wrap type="square" anchory="page"/>
            </v:shape>
          </w:pict>
        </mc:Fallback>
      </mc:AlternateContent>
    </w:r>
    <w:r w:rsidRPr="004727E3">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06" w:rsidRDefault="00513C06" w:rsidP="00EF6A0F">
      <w:pPr>
        <w:spacing w:after="0" w:line="240" w:lineRule="auto"/>
      </w:pPr>
      <w:r>
        <w:separator/>
      </w:r>
    </w:p>
  </w:footnote>
  <w:footnote w:type="continuationSeparator" w:id="0">
    <w:p w:rsidR="00513C06" w:rsidRDefault="00513C06" w:rsidP="00EF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A0F" w:rsidRDefault="00EF6A0F">
    <w:r>
      <w:rPr>
        <w:noProof/>
        <w:lang w:val="en-US"/>
      </w:rPr>
      <w:drawing>
        <wp:anchor distT="0" distB="0" distL="114300" distR="114300" simplePos="0" relativeHeight="251658240" behindDoc="1" locked="0" layoutInCell="1" allowOverlap="1" wp14:anchorId="1422692D" wp14:editId="0729AA3C">
          <wp:simplePos x="0" y="0"/>
          <wp:positionH relativeFrom="page">
            <wp:posOffset>4284345</wp:posOffset>
          </wp:positionH>
          <wp:positionV relativeFrom="page">
            <wp:posOffset>377825</wp:posOffset>
          </wp:positionV>
          <wp:extent cx="2882900" cy="735965"/>
          <wp:effectExtent l="0" t="0" r="0" b="0"/>
          <wp:wrapNone/>
          <wp:docPr id="3" name="Picture 3"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9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064" w:rsidRDefault="00EF3064">
    <w:r>
      <w:rPr>
        <w:noProof/>
        <w:lang w:val="en-US"/>
      </w:rPr>
      <w:drawing>
        <wp:anchor distT="0" distB="0" distL="114300" distR="114300" simplePos="0" relativeHeight="251662336" behindDoc="1" locked="0" layoutInCell="1" allowOverlap="1" wp14:anchorId="01F02A3E" wp14:editId="75913A87">
          <wp:simplePos x="0" y="0"/>
          <wp:positionH relativeFrom="page">
            <wp:posOffset>4320540</wp:posOffset>
          </wp:positionH>
          <wp:positionV relativeFrom="page">
            <wp:posOffset>360045</wp:posOffset>
          </wp:positionV>
          <wp:extent cx="2883600" cy="734400"/>
          <wp:effectExtent l="0" t="0" r="0" b="0"/>
          <wp:wrapNone/>
          <wp:docPr id="5" name="Picture 5"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65A08"/>
    <w:multiLevelType w:val="hybridMultilevel"/>
    <w:tmpl w:val="FA22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155E9"/>
    <w:multiLevelType w:val="hybridMultilevel"/>
    <w:tmpl w:val="EA56A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DC182F"/>
    <w:multiLevelType w:val="hybridMultilevel"/>
    <w:tmpl w:val="9B52064C"/>
    <w:lvl w:ilvl="0" w:tplc="4D6824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56757F"/>
    <w:multiLevelType w:val="hybridMultilevel"/>
    <w:tmpl w:val="7832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778BF"/>
    <w:multiLevelType w:val="hybridMultilevel"/>
    <w:tmpl w:val="1C5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23"/>
    <w:rsid w:val="000161D0"/>
    <w:rsid w:val="00074372"/>
    <w:rsid w:val="000A7B58"/>
    <w:rsid w:val="000C68E6"/>
    <w:rsid w:val="000D0EF1"/>
    <w:rsid w:val="00140CBF"/>
    <w:rsid w:val="00141861"/>
    <w:rsid w:val="00156F96"/>
    <w:rsid w:val="00164A97"/>
    <w:rsid w:val="001A352E"/>
    <w:rsid w:val="001C61FC"/>
    <w:rsid w:val="001D59E5"/>
    <w:rsid w:val="001F339D"/>
    <w:rsid w:val="0020688B"/>
    <w:rsid w:val="00233555"/>
    <w:rsid w:val="0024693C"/>
    <w:rsid w:val="00294D63"/>
    <w:rsid w:val="002A5A82"/>
    <w:rsid w:val="003069C7"/>
    <w:rsid w:val="0031377B"/>
    <w:rsid w:val="00314570"/>
    <w:rsid w:val="00324336"/>
    <w:rsid w:val="003255BC"/>
    <w:rsid w:val="00333873"/>
    <w:rsid w:val="00333F88"/>
    <w:rsid w:val="003537E4"/>
    <w:rsid w:val="00372118"/>
    <w:rsid w:val="00376304"/>
    <w:rsid w:val="003C5353"/>
    <w:rsid w:val="004614FB"/>
    <w:rsid w:val="00466EB1"/>
    <w:rsid w:val="004727E3"/>
    <w:rsid w:val="00486AA2"/>
    <w:rsid w:val="004C26A8"/>
    <w:rsid w:val="004F30D9"/>
    <w:rsid w:val="00513C06"/>
    <w:rsid w:val="00567B27"/>
    <w:rsid w:val="005739F5"/>
    <w:rsid w:val="00594E25"/>
    <w:rsid w:val="005B02C0"/>
    <w:rsid w:val="005C7F99"/>
    <w:rsid w:val="005E22CB"/>
    <w:rsid w:val="005F0899"/>
    <w:rsid w:val="00644323"/>
    <w:rsid w:val="00656D77"/>
    <w:rsid w:val="006736BF"/>
    <w:rsid w:val="0069019B"/>
    <w:rsid w:val="006B19A2"/>
    <w:rsid w:val="00717D31"/>
    <w:rsid w:val="00723E19"/>
    <w:rsid w:val="00724B37"/>
    <w:rsid w:val="007C0C3B"/>
    <w:rsid w:val="0085724A"/>
    <w:rsid w:val="008A1830"/>
    <w:rsid w:val="009334F4"/>
    <w:rsid w:val="00935224"/>
    <w:rsid w:val="009800DB"/>
    <w:rsid w:val="009B55D9"/>
    <w:rsid w:val="009C3329"/>
    <w:rsid w:val="009D5BE9"/>
    <w:rsid w:val="009E2F99"/>
    <w:rsid w:val="00A560C1"/>
    <w:rsid w:val="00A735B2"/>
    <w:rsid w:val="00A8440D"/>
    <w:rsid w:val="00AB286E"/>
    <w:rsid w:val="00AB7215"/>
    <w:rsid w:val="00AC4458"/>
    <w:rsid w:val="00AE0FE5"/>
    <w:rsid w:val="00B05C88"/>
    <w:rsid w:val="00B42ABF"/>
    <w:rsid w:val="00B617C0"/>
    <w:rsid w:val="00C12BCF"/>
    <w:rsid w:val="00C30226"/>
    <w:rsid w:val="00C5000C"/>
    <w:rsid w:val="00C65FEC"/>
    <w:rsid w:val="00C6637F"/>
    <w:rsid w:val="00C84C9A"/>
    <w:rsid w:val="00CC468F"/>
    <w:rsid w:val="00CF2AF2"/>
    <w:rsid w:val="00CF6961"/>
    <w:rsid w:val="00D11D13"/>
    <w:rsid w:val="00D148A5"/>
    <w:rsid w:val="00D37FC2"/>
    <w:rsid w:val="00D726A3"/>
    <w:rsid w:val="00E128F4"/>
    <w:rsid w:val="00E30E87"/>
    <w:rsid w:val="00E43898"/>
    <w:rsid w:val="00EB35EF"/>
    <w:rsid w:val="00EB6C1D"/>
    <w:rsid w:val="00EC7D6D"/>
    <w:rsid w:val="00EE185B"/>
    <w:rsid w:val="00EF3064"/>
    <w:rsid w:val="00EF317B"/>
    <w:rsid w:val="00EF6A0F"/>
    <w:rsid w:val="00F35B67"/>
    <w:rsid w:val="00F425A6"/>
    <w:rsid w:val="00FC02F1"/>
    <w:rsid w:val="00FF4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D22C1"/>
  <w15:docId w15:val="{CCB1ACB7-3FC3-4236-9C03-07F69B63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899"/>
    <w:rPr>
      <w:rFonts w:ascii="Open Sans" w:hAnsi="Open Sans"/>
      <w:sz w:val="20"/>
    </w:rPr>
  </w:style>
  <w:style w:type="paragraph" w:styleId="Heading1">
    <w:name w:val="heading 1"/>
    <w:basedOn w:val="Normal"/>
    <w:next w:val="Normal"/>
    <w:link w:val="Heading1Char"/>
    <w:uiPriority w:val="9"/>
    <w:qFormat/>
    <w:rsid w:val="00EF6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0899"/>
    <w:pPr>
      <w:spacing w:after="0" w:line="240" w:lineRule="auto"/>
      <w:jc w:val="right"/>
    </w:pPr>
    <w:rPr>
      <w:sz w:val="16"/>
      <w:szCs w:val="16"/>
      <w:lang w:val="da-DK"/>
    </w:rPr>
  </w:style>
  <w:style w:type="character" w:customStyle="1" w:styleId="FooterChar">
    <w:name w:val="Footer Char"/>
    <w:basedOn w:val="DefaultParagraphFont"/>
    <w:link w:val="Footer"/>
    <w:uiPriority w:val="99"/>
    <w:rsid w:val="005F0899"/>
    <w:rPr>
      <w:rFonts w:ascii="Open Sans" w:hAnsi="Open Sans"/>
      <w:sz w:val="16"/>
      <w:szCs w:val="16"/>
      <w:lang w:val="da-DK"/>
    </w:rPr>
  </w:style>
  <w:style w:type="paragraph" w:styleId="Title">
    <w:name w:val="Title"/>
    <w:basedOn w:val="Normal"/>
    <w:next w:val="Normal"/>
    <w:link w:val="TitleChar"/>
    <w:uiPriority w:val="10"/>
    <w:qFormat/>
    <w:rsid w:val="00EF6A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6A0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F6A0F"/>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EF6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F6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7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3"/>
    <w:rPr>
      <w:rFonts w:ascii="Tahoma" w:hAnsi="Tahoma" w:cs="Tahoma"/>
      <w:sz w:val="16"/>
      <w:szCs w:val="16"/>
    </w:rPr>
  </w:style>
  <w:style w:type="table" w:styleId="TableGrid">
    <w:name w:val="Table Grid"/>
    <w:basedOn w:val="TableNormal"/>
    <w:uiPriority w:val="59"/>
    <w:rsid w:val="00D7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5A82"/>
    <w:rPr>
      <w:color w:val="808080"/>
    </w:rPr>
  </w:style>
  <w:style w:type="character" w:styleId="Hyperlink">
    <w:name w:val="Hyperlink"/>
    <w:basedOn w:val="DefaultParagraphFont"/>
    <w:uiPriority w:val="99"/>
    <w:unhideWhenUsed/>
    <w:rsid w:val="00EE185B"/>
    <w:rPr>
      <w:color w:val="0000FF" w:themeColor="hyperlink"/>
      <w:u w:val="single"/>
    </w:rPr>
  </w:style>
  <w:style w:type="paragraph" w:styleId="Header">
    <w:name w:val="header"/>
    <w:basedOn w:val="Normal"/>
    <w:link w:val="HeaderChar"/>
    <w:uiPriority w:val="99"/>
    <w:unhideWhenUsed/>
    <w:rsid w:val="00AC44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AC4458"/>
    <w:rPr>
      <w:rFonts w:ascii="Open Sans" w:hAnsi="Open Sans"/>
      <w:sz w:val="20"/>
    </w:rPr>
  </w:style>
  <w:style w:type="paragraph" w:styleId="ListParagraph">
    <w:name w:val="List Paragraph"/>
    <w:basedOn w:val="Normal"/>
    <w:uiPriority w:val="34"/>
    <w:rsid w:val="004614FB"/>
    <w:pPr>
      <w:ind w:left="720"/>
      <w:contextualSpacing/>
    </w:pPr>
  </w:style>
  <w:style w:type="character" w:styleId="CommentReference">
    <w:name w:val="annotation reference"/>
    <w:basedOn w:val="DefaultParagraphFont"/>
    <w:uiPriority w:val="99"/>
    <w:semiHidden/>
    <w:unhideWhenUsed/>
    <w:rsid w:val="000C68E6"/>
    <w:rPr>
      <w:sz w:val="16"/>
      <w:szCs w:val="16"/>
    </w:rPr>
  </w:style>
  <w:style w:type="paragraph" w:styleId="CommentText">
    <w:name w:val="annotation text"/>
    <w:basedOn w:val="Normal"/>
    <w:link w:val="CommentTextChar"/>
    <w:uiPriority w:val="99"/>
    <w:semiHidden/>
    <w:unhideWhenUsed/>
    <w:rsid w:val="000C68E6"/>
    <w:pPr>
      <w:spacing w:line="240" w:lineRule="auto"/>
    </w:pPr>
    <w:rPr>
      <w:szCs w:val="20"/>
    </w:rPr>
  </w:style>
  <w:style w:type="character" w:customStyle="1" w:styleId="CommentTextChar">
    <w:name w:val="Comment Text Char"/>
    <w:basedOn w:val="DefaultParagraphFont"/>
    <w:link w:val="CommentText"/>
    <w:uiPriority w:val="99"/>
    <w:semiHidden/>
    <w:rsid w:val="000C68E6"/>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0C68E6"/>
    <w:rPr>
      <w:b/>
      <w:bCs/>
    </w:rPr>
  </w:style>
  <w:style w:type="character" w:customStyle="1" w:styleId="CommentSubjectChar">
    <w:name w:val="Comment Subject Char"/>
    <w:basedOn w:val="CommentTextChar"/>
    <w:link w:val="CommentSubject"/>
    <w:uiPriority w:val="99"/>
    <w:semiHidden/>
    <w:rsid w:val="000C68E6"/>
    <w:rPr>
      <w:rFonts w:ascii="Open Sans" w:hAnsi="Open Sans"/>
      <w:b/>
      <w:bCs/>
      <w:sz w:val="20"/>
      <w:szCs w:val="20"/>
    </w:rPr>
  </w:style>
  <w:style w:type="paragraph" w:styleId="Revision">
    <w:name w:val="Revision"/>
    <w:hidden/>
    <w:uiPriority w:val="99"/>
    <w:semiHidden/>
    <w:rsid w:val="005C7F99"/>
    <w:pPr>
      <w:spacing w:after="0" w:line="240" w:lineRule="auto"/>
    </w:pPr>
    <w:rPr>
      <w:rFonts w:ascii="Open Sans" w:hAnsi="Open Sans"/>
      <w:sz w:val="20"/>
    </w:rPr>
  </w:style>
  <w:style w:type="paragraph" w:styleId="NormalWeb">
    <w:name w:val="Normal (Web)"/>
    <w:basedOn w:val="Normal"/>
    <w:uiPriority w:val="99"/>
    <w:semiHidden/>
    <w:unhideWhenUsed/>
    <w:rsid w:val="00A844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0861">
      <w:bodyDiv w:val="1"/>
      <w:marLeft w:val="0"/>
      <w:marRight w:val="0"/>
      <w:marTop w:val="0"/>
      <w:marBottom w:val="0"/>
      <w:divBdr>
        <w:top w:val="none" w:sz="0" w:space="0" w:color="auto"/>
        <w:left w:val="none" w:sz="0" w:space="0" w:color="auto"/>
        <w:bottom w:val="none" w:sz="0" w:space="0" w:color="auto"/>
        <w:right w:val="none" w:sz="0" w:space="0" w:color="auto"/>
      </w:divBdr>
    </w:div>
    <w:div w:id="612440704">
      <w:bodyDiv w:val="1"/>
      <w:marLeft w:val="0"/>
      <w:marRight w:val="0"/>
      <w:marTop w:val="0"/>
      <w:marBottom w:val="0"/>
      <w:divBdr>
        <w:top w:val="none" w:sz="0" w:space="0" w:color="auto"/>
        <w:left w:val="none" w:sz="0" w:space="0" w:color="auto"/>
        <w:bottom w:val="none" w:sz="0" w:space="0" w:color="auto"/>
        <w:right w:val="none" w:sz="0" w:space="0" w:color="auto"/>
      </w:divBdr>
    </w:div>
    <w:div w:id="628049648">
      <w:bodyDiv w:val="1"/>
      <w:marLeft w:val="0"/>
      <w:marRight w:val="0"/>
      <w:marTop w:val="0"/>
      <w:marBottom w:val="0"/>
      <w:divBdr>
        <w:top w:val="none" w:sz="0" w:space="0" w:color="auto"/>
        <w:left w:val="none" w:sz="0" w:space="0" w:color="auto"/>
        <w:bottom w:val="none" w:sz="0" w:space="0" w:color="auto"/>
        <w:right w:val="none" w:sz="0" w:space="0" w:color="auto"/>
      </w:divBdr>
    </w:div>
    <w:div w:id="649988121">
      <w:bodyDiv w:val="1"/>
      <w:marLeft w:val="0"/>
      <w:marRight w:val="0"/>
      <w:marTop w:val="0"/>
      <w:marBottom w:val="0"/>
      <w:divBdr>
        <w:top w:val="none" w:sz="0" w:space="0" w:color="auto"/>
        <w:left w:val="none" w:sz="0" w:space="0" w:color="auto"/>
        <w:bottom w:val="none" w:sz="0" w:space="0" w:color="auto"/>
        <w:right w:val="none" w:sz="0" w:space="0" w:color="auto"/>
      </w:divBdr>
    </w:div>
    <w:div w:id="815339995">
      <w:bodyDiv w:val="1"/>
      <w:marLeft w:val="0"/>
      <w:marRight w:val="0"/>
      <w:marTop w:val="0"/>
      <w:marBottom w:val="0"/>
      <w:divBdr>
        <w:top w:val="none" w:sz="0" w:space="0" w:color="auto"/>
        <w:left w:val="none" w:sz="0" w:space="0" w:color="auto"/>
        <w:bottom w:val="none" w:sz="0" w:space="0" w:color="auto"/>
        <w:right w:val="none" w:sz="0" w:space="0" w:color="auto"/>
      </w:divBdr>
    </w:div>
    <w:div w:id="896823906">
      <w:bodyDiv w:val="1"/>
      <w:marLeft w:val="0"/>
      <w:marRight w:val="0"/>
      <w:marTop w:val="0"/>
      <w:marBottom w:val="0"/>
      <w:divBdr>
        <w:top w:val="none" w:sz="0" w:space="0" w:color="auto"/>
        <w:left w:val="none" w:sz="0" w:space="0" w:color="auto"/>
        <w:bottom w:val="none" w:sz="0" w:space="0" w:color="auto"/>
        <w:right w:val="none" w:sz="0" w:space="0" w:color="auto"/>
      </w:divBdr>
    </w:div>
    <w:div w:id="1309507286">
      <w:bodyDiv w:val="1"/>
      <w:marLeft w:val="0"/>
      <w:marRight w:val="0"/>
      <w:marTop w:val="0"/>
      <w:marBottom w:val="0"/>
      <w:divBdr>
        <w:top w:val="none" w:sz="0" w:space="0" w:color="auto"/>
        <w:left w:val="none" w:sz="0" w:space="0" w:color="auto"/>
        <w:bottom w:val="none" w:sz="0" w:space="0" w:color="auto"/>
        <w:right w:val="none" w:sz="0" w:space="0" w:color="auto"/>
      </w:divBdr>
    </w:div>
    <w:div w:id="18781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ea.europa.eu/" TargetMode="External"/><Relationship Id="rId1" Type="http://schemas.openxmlformats.org/officeDocument/2006/relationships/hyperlink" Target="http://www.ee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BB58-17CB-4CDE-876B-2589E270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Martin-Montalvo Alvarez</dc:creator>
  <cp:lastModifiedBy>Marthe Granger</cp:lastModifiedBy>
  <cp:revision>2</cp:revision>
  <dcterms:created xsi:type="dcterms:W3CDTF">2020-03-24T14:59:00Z</dcterms:created>
  <dcterms:modified xsi:type="dcterms:W3CDTF">2020-03-24T14:59:00Z</dcterms:modified>
</cp:coreProperties>
</file>