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ED7F" w14:textId="77777777" w:rsidR="00FF442C" w:rsidRDefault="00644323" w:rsidP="0064432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44323">
        <w:rPr>
          <w:rFonts w:asciiTheme="minorHAnsi" w:hAnsiTheme="minorHAnsi" w:cstheme="minorHAnsi"/>
          <w:b/>
          <w:sz w:val="32"/>
          <w:szCs w:val="32"/>
        </w:rPr>
        <w:t xml:space="preserve">Compilation of common questions </w:t>
      </w:r>
    </w:p>
    <w:p w14:paraId="731CFD98" w14:textId="77777777" w:rsidR="005F0899" w:rsidRPr="00644323" w:rsidRDefault="00FF442C" w:rsidP="0064432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442C">
        <w:rPr>
          <w:rFonts w:asciiTheme="minorHAnsi" w:hAnsiTheme="minorHAnsi" w:cstheme="minorHAnsi"/>
          <w:b/>
          <w:sz w:val="32"/>
          <w:szCs w:val="32"/>
        </w:rPr>
        <w:t>Reporting on integrated emission management techniques applied in Mineral oil and gas refineries</w:t>
      </w:r>
    </w:p>
    <w:p w14:paraId="3A39B5F7" w14:textId="77777777" w:rsidR="00644323" w:rsidRDefault="00644323" w:rsidP="005F0899">
      <w:pPr>
        <w:rPr>
          <w:rFonts w:asciiTheme="minorHAnsi" w:hAnsiTheme="minorHAnsi" w:cstheme="minorHAnsi"/>
          <w:sz w:val="22"/>
        </w:rPr>
      </w:pPr>
    </w:p>
    <w:p w14:paraId="5306A769" w14:textId="77777777" w:rsidR="00FF442C" w:rsidRDefault="00FF442C" w:rsidP="005F0899">
      <w:pPr>
        <w:rPr>
          <w:rFonts w:asciiTheme="minorHAnsi" w:hAnsiTheme="minorHAnsi" w:cstheme="minorHAnsi"/>
          <w:sz w:val="22"/>
        </w:rPr>
      </w:pPr>
    </w:p>
    <w:p w14:paraId="41514973" w14:textId="77777777" w:rsidR="00533404" w:rsidRPr="00533404" w:rsidRDefault="00533404" w:rsidP="00533404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533404">
        <w:rPr>
          <w:rFonts w:asciiTheme="minorHAnsi" w:eastAsia="Times New Roman" w:hAnsiTheme="minorHAnsi" w:cstheme="minorHAnsi"/>
          <w:b/>
          <w:sz w:val="28"/>
          <w:szCs w:val="28"/>
        </w:rPr>
        <w:t>Do I have to report if I do not apply the “bubble” concept ?</w:t>
      </w:r>
    </w:p>
    <w:p w14:paraId="667BA69A" w14:textId="77777777" w:rsidR="00533404" w:rsidRPr="00533404" w:rsidRDefault="00533404" w:rsidP="00533404">
      <w:pPr>
        <w:rPr>
          <w:rFonts w:asciiTheme="minorHAnsi" w:hAnsiTheme="minorHAnsi" w:cstheme="minorHAnsi"/>
          <w:sz w:val="22"/>
        </w:rPr>
      </w:pPr>
      <w:r w:rsidRPr="00533404">
        <w:rPr>
          <w:rFonts w:asciiTheme="minorHAnsi" w:hAnsiTheme="minorHAnsi" w:cstheme="minorHAnsi"/>
          <w:sz w:val="22"/>
        </w:rPr>
        <w:t>The reporting is about the use of the bubble, so only for MS that apply it.</w:t>
      </w:r>
    </w:p>
    <w:p w14:paraId="30B35C61" w14:textId="77777777" w:rsidR="00533404" w:rsidRPr="00533404" w:rsidRDefault="00533404" w:rsidP="00533404">
      <w:pPr>
        <w:rPr>
          <w:rFonts w:asciiTheme="minorHAnsi" w:hAnsiTheme="minorHAnsi" w:cstheme="minorHAnsi"/>
          <w:sz w:val="22"/>
        </w:rPr>
      </w:pPr>
      <w:r w:rsidRPr="00533404">
        <w:rPr>
          <w:rFonts w:asciiTheme="minorHAnsi" w:hAnsiTheme="minorHAnsi" w:cstheme="minorHAnsi"/>
          <w:sz w:val="22"/>
        </w:rPr>
        <w:t xml:space="preserve">There is no need to report  about “bubble” if you do not apply it. </w:t>
      </w:r>
    </w:p>
    <w:p w14:paraId="6BEBC76F" w14:textId="77777777" w:rsidR="00FF442C" w:rsidRDefault="00FF442C" w:rsidP="005F0899">
      <w:pPr>
        <w:rPr>
          <w:rFonts w:asciiTheme="minorHAnsi" w:hAnsiTheme="minorHAnsi" w:cstheme="minorHAnsi"/>
          <w:sz w:val="22"/>
        </w:rPr>
      </w:pPr>
    </w:p>
    <w:p w14:paraId="4F4ED121" w14:textId="77777777" w:rsidR="00644323" w:rsidRPr="00FF442C" w:rsidRDefault="00FF442C" w:rsidP="005F0899">
      <w:pPr>
        <w:rPr>
          <w:rFonts w:asciiTheme="minorHAnsi" w:hAnsiTheme="minorHAnsi" w:cstheme="minorHAnsi"/>
          <w:b/>
          <w:sz w:val="28"/>
          <w:szCs w:val="28"/>
        </w:rPr>
      </w:pPr>
      <w:r w:rsidRPr="00FF442C">
        <w:rPr>
          <w:rFonts w:asciiTheme="minorHAnsi" w:eastAsia="Times New Roman" w:hAnsiTheme="minorHAnsi" w:cstheme="minorHAnsi"/>
          <w:b/>
          <w:sz w:val="28"/>
          <w:szCs w:val="28"/>
        </w:rPr>
        <w:t>How can I do if I need to fill in more than one fuel type fired (for combustion units)</w:t>
      </w:r>
      <w:r w:rsidRPr="00FF442C">
        <w:rPr>
          <w:rFonts w:asciiTheme="minorHAnsi" w:hAnsiTheme="minorHAnsi" w:cstheme="minorHAnsi"/>
          <w:b/>
          <w:sz w:val="28"/>
          <w:szCs w:val="28"/>
        </w:rPr>
        <w:t>?</w:t>
      </w:r>
    </w:p>
    <w:p w14:paraId="1DB9B6BB" w14:textId="77777777" w:rsidR="003C5353" w:rsidRDefault="00FF442C" w:rsidP="004614FB">
      <w:pPr>
        <w:rPr>
          <w:rFonts w:asciiTheme="minorHAnsi" w:hAnsiTheme="minorHAnsi" w:cstheme="minorHAnsi"/>
          <w:sz w:val="22"/>
        </w:rPr>
      </w:pPr>
      <w:r w:rsidRPr="00FF442C">
        <w:rPr>
          <w:rFonts w:asciiTheme="minorHAnsi" w:hAnsiTheme="minorHAnsi" w:cstheme="minorHAnsi"/>
          <w:sz w:val="22"/>
        </w:rPr>
        <w:t>Because the excel frame can not offer a list with multiple answers, reporters will need to insert a new row to select another fuel type.</w:t>
      </w:r>
      <w:r w:rsidR="003C5353" w:rsidRPr="00FF442C">
        <w:rPr>
          <w:rFonts w:asciiTheme="minorHAnsi" w:hAnsiTheme="minorHAnsi" w:cstheme="minorHAnsi"/>
          <w:sz w:val="22"/>
        </w:rPr>
        <w:t xml:space="preserve"> </w:t>
      </w:r>
    </w:p>
    <w:p w14:paraId="78A3F24E" w14:textId="77777777" w:rsidR="00533404" w:rsidRDefault="00533404" w:rsidP="004614FB">
      <w:pPr>
        <w:rPr>
          <w:rFonts w:asciiTheme="minorHAnsi" w:hAnsiTheme="minorHAnsi" w:cstheme="minorHAnsi"/>
          <w:sz w:val="22"/>
        </w:rPr>
      </w:pPr>
    </w:p>
    <w:p w14:paraId="44939A63" w14:textId="77777777" w:rsidR="0059746D" w:rsidRDefault="0059746D" w:rsidP="0059746D">
      <w:pPr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Hlk40708878"/>
      <w:r>
        <w:rPr>
          <w:rFonts w:asciiTheme="minorHAnsi" w:eastAsia="Times New Roman" w:hAnsiTheme="minorHAnsi" w:cstheme="minorHAnsi"/>
          <w:b/>
          <w:sz w:val="28"/>
          <w:szCs w:val="28"/>
        </w:rPr>
        <w:t>What is  the reporting year for which the report is  required ?</w:t>
      </w:r>
    </w:p>
    <w:p w14:paraId="6D96B223" w14:textId="77777777" w:rsidR="002F2D7A" w:rsidRDefault="0059746D" w:rsidP="0059746D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reporting Decision refers to the period between 2017 and 2019. However, since permit reviews took place between 2014 and 2018</w:t>
      </w:r>
      <w:r w:rsidR="002F2D7A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Member States will report the information requested for the year for which data are available.  </w:t>
      </w:r>
    </w:p>
    <w:p w14:paraId="493CD151" w14:textId="77777777" w:rsidR="0059746D" w:rsidRDefault="00103596" w:rsidP="002F2D7A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Furthermore, in case</w:t>
      </w:r>
      <w:r w:rsidRPr="00103596">
        <w:rPr>
          <w:rFonts w:asciiTheme="minorHAnsi" w:hAnsiTheme="minorHAnsi" w:cstheme="minorHAnsi"/>
          <w:sz w:val="22"/>
        </w:rPr>
        <w:t xml:space="preserve"> the bubble is only applied a few months in one of the reporting years</w:t>
      </w:r>
      <w:r>
        <w:rPr>
          <w:rFonts w:asciiTheme="minorHAnsi" w:hAnsiTheme="minorHAnsi" w:cstheme="minorHAnsi"/>
          <w:sz w:val="22"/>
        </w:rPr>
        <w:t>,</w:t>
      </w:r>
      <w:r w:rsidRPr="00103596">
        <w:rPr>
          <w:rFonts w:asciiTheme="minorHAnsi" w:hAnsiTheme="minorHAnsi" w:cstheme="minorHAnsi"/>
          <w:sz w:val="22"/>
        </w:rPr>
        <w:t xml:space="preserve"> then </w:t>
      </w:r>
      <w:r>
        <w:rPr>
          <w:rFonts w:asciiTheme="minorHAnsi" w:hAnsiTheme="minorHAnsi" w:cstheme="minorHAnsi"/>
          <w:sz w:val="22"/>
        </w:rPr>
        <w:t xml:space="preserve">the </w:t>
      </w:r>
      <w:r w:rsidRPr="00103596">
        <w:rPr>
          <w:rFonts w:asciiTheme="minorHAnsi" w:hAnsiTheme="minorHAnsi" w:cstheme="minorHAnsi"/>
          <w:sz w:val="22"/>
        </w:rPr>
        <w:t xml:space="preserve">reporting </w:t>
      </w:r>
      <w:r w:rsidR="002F2D7A">
        <w:rPr>
          <w:rFonts w:asciiTheme="minorHAnsi" w:hAnsiTheme="minorHAnsi" w:cstheme="minorHAnsi"/>
          <w:sz w:val="22"/>
        </w:rPr>
        <w:t>must</w:t>
      </w:r>
      <w:r>
        <w:rPr>
          <w:rFonts w:asciiTheme="minorHAnsi" w:hAnsiTheme="minorHAnsi" w:cstheme="minorHAnsi"/>
          <w:sz w:val="22"/>
        </w:rPr>
        <w:t xml:space="preserve"> </w:t>
      </w:r>
      <w:r w:rsidRPr="00103596">
        <w:rPr>
          <w:rFonts w:asciiTheme="minorHAnsi" w:hAnsiTheme="minorHAnsi" w:cstheme="minorHAnsi"/>
          <w:sz w:val="22"/>
        </w:rPr>
        <w:t>cover those months</w:t>
      </w:r>
      <w:r>
        <w:rPr>
          <w:rFonts w:asciiTheme="minorHAnsi" w:hAnsiTheme="minorHAnsi" w:cstheme="minorHAnsi"/>
          <w:sz w:val="22"/>
        </w:rPr>
        <w:t>.</w:t>
      </w:r>
    </w:p>
    <w:p w14:paraId="3D36D9C8" w14:textId="77777777" w:rsidR="002F2D7A" w:rsidRDefault="002F2D7A" w:rsidP="002F2D7A">
      <w:pPr>
        <w:spacing w:after="0"/>
        <w:rPr>
          <w:rFonts w:asciiTheme="minorHAnsi" w:hAnsiTheme="minorHAnsi" w:cstheme="minorHAnsi"/>
          <w:sz w:val="22"/>
        </w:rPr>
      </w:pPr>
      <w:r w:rsidRPr="002F2D7A">
        <w:rPr>
          <w:rFonts w:asciiTheme="minorHAnsi" w:hAnsiTheme="minorHAnsi" w:cstheme="minorHAnsi"/>
          <w:sz w:val="22"/>
        </w:rPr>
        <w:t>As an example: where a refinery permit has been reviewed in 2018 and where the bubble is implemented in that refinery, the information on the implementation of such a technique shall only be made available for the months of 2018 where the technique is applied and for the year 2019.</w:t>
      </w:r>
    </w:p>
    <w:bookmarkEnd w:id="0"/>
    <w:p w14:paraId="148A9BF5" w14:textId="77777777" w:rsidR="002246CC" w:rsidRDefault="002246CC" w:rsidP="002246CC">
      <w:pPr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75F4F3B" w14:textId="5C9328A1" w:rsidR="002246CC" w:rsidRPr="002246CC" w:rsidRDefault="002246CC" w:rsidP="002246CC">
      <w:pPr>
        <w:rPr>
          <w:rFonts w:asciiTheme="minorHAnsi" w:eastAsia="Times New Roman" w:hAnsiTheme="minorHAnsi" w:cstheme="minorHAnsi"/>
          <w:b/>
          <w:sz w:val="28"/>
          <w:szCs w:val="28"/>
        </w:rPr>
      </w:pPr>
      <w:r w:rsidRPr="002246CC">
        <w:rPr>
          <w:rFonts w:asciiTheme="minorHAnsi" w:eastAsia="Times New Roman" w:hAnsiTheme="minorHAnsi" w:cstheme="minorHAnsi"/>
          <w:b/>
          <w:sz w:val="28"/>
          <w:szCs w:val="28"/>
        </w:rPr>
        <w:t xml:space="preserve">How to report the value foreseen in  ‘AE’ column “flue gas flow rate for each unit concerned (Nm3/hour, all monthly averages during a year)“ </w:t>
      </w:r>
    </w:p>
    <w:p w14:paraId="2C0E7D7D" w14:textId="6FB54E63" w:rsidR="002246CC" w:rsidRPr="002246CC" w:rsidRDefault="002246CC" w:rsidP="002246CC">
      <w:pPr>
        <w:rPr>
          <w:rFonts w:asciiTheme="minorHAnsi" w:hAnsiTheme="minorHAnsi" w:cstheme="minorHAnsi"/>
          <w:sz w:val="22"/>
        </w:rPr>
      </w:pPr>
      <w:r w:rsidRPr="002246CC">
        <w:rPr>
          <w:rFonts w:asciiTheme="minorHAnsi" w:hAnsiTheme="minorHAnsi" w:cstheme="minorHAnsi"/>
          <w:sz w:val="22"/>
        </w:rPr>
        <w:t>The reported monthly averages have to be  calculated based on real operating hours.</w:t>
      </w:r>
    </w:p>
    <w:p w14:paraId="71A0C090" w14:textId="3567D42B" w:rsidR="002B2844" w:rsidRPr="002246CC" w:rsidRDefault="002B2844" w:rsidP="002B2844">
      <w:pPr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Is it possible to provide resubmissions? </w:t>
      </w:r>
    </w:p>
    <w:p w14:paraId="219FA546" w14:textId="5591A638" w:rsidR="002246CC" w:rsidRDefault="002B2844" w:rsidP="004614F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An official resubmission is not foreseen by the Decision; however it would be possible to provide resubmission within 6 months after the official reporting deadline (31 March 2021). </w:t>
      </w:r>
    </w:p>
    <w:sectPr w:rsidR="002246CC" w:rsidSect="00D726A3">
      <w:headerReference w:type="default" r:id="rId8"/>
      <w:headerReference w:type="first" r:id="rId9"/>
      <w:footerReference w:type="first" r:id="rId10"/>
      <w:type w:val="continuous"/>
      <w:pgSz w:w="11906" w:h="16838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80C07" w14:textId="77777777" w:rsidR="00B17B11" w:rsidRDefault="00B17B11" w:rsidP="00EF6A0F">
      <w:pPr>
        <w:spacing w:after="0" w:line="240" w:lineRule="auto"/>
      </w:pPr>
      <w:r>
        <w:separator/>
      </w:r>
    </w:p>
  </w:endnote>
  <w:endnote w:type="continuationSeparator" w:id="0">
    <w:p w14:paraId="6C531E1E" w14:textId="77777777" w:rsidR="00B17B11" w:rsidRDefault="00B17B11" w:rsidP="00EF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5FDA5" w14:textId="77777777" w:rsidR="00EF3064" w:rsidRPr="004727E3" w:rsidRDefault="00EF3064" w:rsidP="005F0899">
    <w:pPr>
      <w:pStyle w:val="Footer"/>
    </w:pPr>
    <w:r w:rsidRPr="004727E3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C687CA" wp14:editId="1F5407FB">
              <wp:simplePos x="0" y="0"/>
              <wp:positionH relativeFrom="column">
                <wp:posOffset>4806391</wp:posOffset>
              </wp:positionH>
              <wp:positionV relativeFrom="page">
                <wp:posOffset>9607436</wp:posOffset>
              </wp:positionV>
              <wp:extent cx="1551305" cy="95504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95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F97A" w14:textId="77777777" w:rsidR="005F0899" w:rsidRPr="00314570" w:rsidRDefault="00EF3064" w:rsidP="005F0899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18"/>
                              <w:lang w:val="nb-NO"/>
                            </w:rPr>
                          </w:pPr>
                          <w:r w:rsidRPr="00314570">
                            <w:rPr>
                              <w:rFonts w:asciiTheme="minorHAnsi" w:hAnsiTheme="minorHAnsi" w:cstheme="minorHAnsi"/>
                              <w:sz w:val="18"/>
                              <w:lang w:val="nb-NO"/>
                            </w:rPr>
                            <w:t>Kongens Nytorv 6</w:t>
                          </w:r>
                        </w:p>
                        <w:p w14:paraId="53E9C098" w14:textId="77777777" w:rsidR="005F0899" w:rsidRPr="00314570" w:rsidRDefault="00EF3064" w:rsidP="005F0899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18"/>
                              <w:lang w:val="nb-NO"/>
                            </w:rPr>
                          </w:pPr>
                          <w:r w:rsidRPr="00314570">
                            <w:rPr>
                              <w:rFonts w:asciiTheme="minorHAnsi" w:hAnsiTheme="minorHAnsi" w:cstheme="minorHAnsi"/>
                              <w:sz w:val="18"/>
                              <w:lang w:val="nb-NO"/>
                            </w:rPr>
                            <w:t>1050 Copenhagen K</w:t>
                          </w:r>
                        </w:p>
                        <w:p w14:paraId="498E6A0D" w14:textId="77777777" w:rsidR="005F0899" w:rsidRPr="00314570" w:rsidRDefault="00EF3064" w:rsidP="005F0899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18"/>
                              <w:lang w:val="nb-NO"/>
                            </w:rPr>
                          </w:pPr>
                          <w:r w:rsidRPr="00314570">
                            <w:rPr>
                              <w:rFonts w:asciiTheme="minorHAnsi" w:hAnsiTheme="minorHAnsi" w:cstheme="minorHAnsi"/>
                              <w:sz w:val="18"/>
                              <w:lang w:val="nb-NO"/>
                            </w:rPr>
                            <w:t>Denmark</w:t>
                          </w:r>
                        </w:p>
                        <w:p w14:paraId="77873E99" w14:textId="77777777" w:rsidR="005F0899" w:rsidRPr="00314570" w:rsidRDefault="00EF3064" w:rsidP="005F0899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18"/>
                              <w:lang w:val="nb-NO"/>
                            </w:rPr>
                          </w:pPr>
                          <w:r w:rsidRPr="00314570">
                            <w:rPr>
                              <w:rFonts w:asciiTheme="minorHAnsi" w:hAnsiTheme="minorHAnsi" w:cstheme="minorHAnsi"/>
                              <w:sz w:val="18"/>
                              <w:lang w:val="nb-NO"/>
                            </w:rPr>
                            <w:t xml:space="preserve">Tel.: +45 3336 </w:t>
                          </w:r>
                          <w:r w:rsidR="00717D31" w:rsidRPr="00314570">
                            <w:rPr>
                              <w:rFonts w:asciiTheme="minorHAnsi" w:hAnsiTheme="minorHAnsi" w:cstheme="minorHAnsi"/>
                              <w:sz w:val="18"/>
                              <w:lang w:val="nb-NO"/>
                            </w:rPr>
                            <w:t>7100</w:t>
                          </w:r>
                        </w:p>
                        <w:p w14:paraId="1A797789" w14:textId="77777777" w:rsidR="00EF3064" w:rsidRPr="00324336" w:rsidRDefault="00717D31" w:rsidP="005F0899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324336">
                            <w:rPr>
                              <w:rFonts w:asciiTheme="minorHAnsi" w:hAnsiTheme="minorHAnsi" w:cstheme="minorHAnsi"/>
                              <w:sz w:val="18"/>
                            </w:rPr>
                            <w:t>Fax: +45 3336 7199</w:t>
                          </w:r>
                        </w:p>
                        <w:p w14:paraId="40EB714D" w14:textId="77777777" w:rsidR="00AC4458" w:rsidRPr="00324336" w:rsidRDefault="00B17B11" w:rsidP="005F0899">
                          <w:pPr>
                            <w:pStyle w:val="Foo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hyperlink r:id="rId1" w:history="1">
                            <w:r w:rsidR="00AC4458" w:rsidRPr="00324336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</w:rPr>
                              <w:t>eea.europa.eu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687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.45pt;margin-top:756.5pt;width:122.15pt;height:7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" stroked="f">
              <v:textbox>
                <w:txbxContent>
                  <w:p w14:paraId="75C2F97A" w14:textId="77777777" w:rsidR="005F0899" w:rsidRPr="00314570" w:rsidRDefault="00EF3064" w:rsidP="005F0899">
                    <w:pPr>
                      <w:pStyle w:val="Footer"/>
                      <w:rPr>
                        <w:rFonts w:asciiTheme="minorHAnsi" w:hAnsiTheme="minorHAnsi" w:cstheme="minorHAnsi"/>
                        <w:sz w:val="18"/>
                        <w:lang w:val="nb-NO"/>
                      </w:rPr>
                    </w:pPr>
                    <w:r w:rsidRPr="00314570">
                      <w:rPr>
                        <w:rFonts w:asciiTheme="minorHAnsi" w:hAnsiTheme="minorHAnsi" w:cstheme="minorHAnsi"/>
                        <w:sz w:val="18"/>
                        <w:lang w:val="nb-NO"/>
                      </w:rPr>
                      <w:t>Kongens Nytorv 6</w:t>
                    </w:r>
                  </w:p>
                  <w:p w14:paraId="53E9C098" w14:textId="77777777" w:rsidR="005F0899" w:rsidRPr="00314570" w:rsidRDefault="00EF3064" w:rsidP="005F0899">
                    <w:pPr>
                      <w:pStyle w:val="Footer"/>
                      <w:rPr>
                        <w:rFonts w:asciiTheme="minorHAnsi" w:hAnsiTheme="minorHAnsi" w:cstheme="minorHAnsi"/>
                        <w:sz w:val="18"/>
                        <w:lang w:val="nb-NO"/>
                      </w:rPr>
                    </w:pPr>
                    <w:r w:rsidRPr="00314570">
                      <w:rPr>
                        <w:rFonts w:asciiTheme="minorHAnsi" w:hAnsiTheme="minorHAnsi" w:cstheme="minorHAnsi"/>
                        <w:sz w:val="18"/>
                        <w:lang w:val="nb-NO"/>
                      </w:rPr>
                      <w:t>1050 Copenhagen K</w:t>
                    </w:r>
                  </w:p>
                  <w:p w14:paraId="498E6A0D" w14:textId="77777777" w:rsidR="005F0899" w:rsidRPr="00314570" w:rsidRDefault="00EF3064" w:rsidP="005F0899">
                    <w:pPr>
                      <w:pStyle w:val="Footer"/>
                      <w:rPr>
                        <w:rFonts w:asciiTheme="minorHAnsi" w:hAnsiTheme="minorHAnsi" w:cstheme="minorHAnsi"/>
                        <w:sz w:val="18"/>
                        <w:lang w:val="nb-NO"/>
                      </w:rPr>
                    </w:pPr>
                    <w:r w:rsidRPr="00314570">
                      <w:rPr>
                        <w:rFonts w:asciiTheme="minorHAnsi" w:hAnsiTheme="minorHAnsi" w:cstheme="minorHAnsi"/>
                        <w:sz w:val="18"/>
                        <w:lang w:val="nb-NO"/>
                      </w:rPr>
                      <w:t>Denmark</w:t>
                    </w:r>
                  </w:p>
                  <w:p w14:paraId="77873E99" w14:textId="77777777" w:rsidR="005F0899" w:rsidRPr="00314570" w:rsidRDefault="00EF3064" w:rsidP="005F0899">
                    <w:pPr>
                      <w:pStyle w:val="Footer"/>
                      <w:rPr>
                        <w:rFonts w:asciiTheme="minorHAnsi" w:hAnsiTheme="minorHAnsi" w:cstheme="minorHAnsi"/>
                        <w:sz w:val="18"/>
                        <w:lang w:val="nb-NO"/>
                      </w:rPr>
                    </w:pPr>
                    <w:r w:rsidRPr="00314570">
                      <w:rPr>
                        <w:rFonts w:asciiTheme="minorHAnsi" w:hAnsiTheme="minorHAnsi" w:cstheme="minorHAnsi"/>
                        <w:sz w:val="18"/>
                        <w:lang w:val="nb-NO"/>
                      </w:rPr>
                      <w:t xml:space="preserve">Tel.: +45 3336 </w:t>
                    </w:r>
                    <w:r w:rsidR="00717D31" w:rsidRPr="00314570">
                      <w:rPr>
                        <w:rFonts w:asciiTheme="minorHAnsi" w:hAnsiTheme="minorHAnsi" w:cstheme="minorHAnsi"/>
                        <w:sz w:val="18"/>
                        <w:lang w:val="nb-NO"/>
                      </w:rPr>
                      <w:t>7100</w:t>
                    </w:r>
                  </w:p>
                  <w:p w14:paraId="1A797789" w14:textId="77777777" w:rsidR="00EF3064" w:rsidRPr="00324336" w:rsidRDefault="00717D31" w:rsidP="005F0899">
                    <w:pPr>
                      <w:pStyle w:val="Footer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324336">
                      <w:rPr>
                        <w:rFonts w:asciiTheme="minorHAnsi" w:hAnsiTheme="minorHAnsi" w:cstheme="minorHAnsi"/>
                        <w:sz w:val="18"/>
                      </w:rPr>
                      <w:t>Fax: +45 3336 7199</w:t>
                    </w:r>
                  </w:p>
                  <w:p w14:paraId="40EB714D" w14:textId="77777777" w:rsidR="00AC4458" w:rsidRPr="00324336" w:rsidRDefault="00B17B11" w:rsidP="005F0899">
                    <w:pPr>
                      <w:pStyle w:val="Footer"/>
                      <w:rPr>
                        <w:rFonts w:asciiTheme="minorHAnsi" w:hAnsiTheme="minorHAnsi" w:cstheme="minorHAnsi"/>
                        <w:sz w:val="18"/>
                      </w:rPr>
                    </w:pPr>
                    <w:hyperlink r:id="rId2" w:history="1">
                      <w:r w:rsidR="00AC4458" w:rsidRPr="00324336">
                        <w:rPr>
                          <w:rStyle w:val="Hyperlink"/>
                          <w:rFonts w:asciiTheme="minorHAnsi" w:hAnsiTheme="minorHAnsi" w:cstheme="minorHAnsi"/>
                          <w:sz w:val="18"/>
                        </w:rPr>
                        <w:t>eea.europa.eu</w:t>
                      </w:r>
                    </w:hyperlink>
                  </w:p>
                </w:txbxContent>
              </v:textbox>
              <w10:wrap type="square" anchory="page"/>
            </v:shape>
          </w:pict>
        </mc:Fallback>
      </mc:AlternateContent>
    </w:r>
    <w:r w:rsidRPr="004727E3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AFAC1" w14:textId="77777777" w:rsidR="00B17B11" w:rsidRDefault="00B17B11" w:rsidP="00EF6A0F">
      <w:pPr>
        <w:spacing w:after="0" w:line="240" w:lineRule="auto"/>
      </w:pPr>
      <w:r>
        <w:separator/>
      </w:r>
    </w:p>
  </w:footnote>
  <w:footnote w:type="continuationSeparator" w:id="0">
    <w:p w14:paraId="20FE9667" w14:textId="77777777" w:rsidR="00B17B11" w:rsidRDefault="00B17B11" w:rsidP="00EF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71C4C" w14:textId="77777777" w:rsidR="00EF6A0F" w:rsidRDefault="00EF6A0F"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7A87144" wp14:editId="440E348A">
          <wp:simplePos x="0" y="0"/>
          <wp:positionH relativeFrom="page">
            <wp:posOffset>4284345</wp:posOffset>
          </wp:positionH>
          <wp:positionV relativeFrom="page">
            <wp:posOffset>377825</wp:posOffset>
          </wp:positionV>
          <wp:extent cx="2882900" cy="735965"/>
          <wp:effectExtent l="0" t="0" r="0" b="0"/>
          <wp:wrapNone/>
          <wp:docPr id="3" name="Picture 3" descr="EE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CCCF2" w14:textId="77777777" w:rsidR="00EF3064" w:rsidRDefault="00EF3064"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0026F1E" wp14:editId="286DBBB3">
          <wp:simplePos x="0" y="0"/>
          <wp:positionH relativeFrom="page">
            <wp:posOffset>4320540</wp:posOffset>
          </wp:positionH>
          <wp:positionV relativeFrom="page">
            <wp:posOffset>360045</wp:posOffset>
          </wp:positionV>
          <wp:extent cx="2883600" cy="734400"/>
          <wp:effectExtent l="0" t="0" r="0" b="0"/>
          <wp:wrapNone/>
          <wp:docPr id="5" name="Picture 5" descr="EE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155E9"/>
    <w:multiLevelType w:val="hybridMultilevel"/>
    <w:tmpl w:val="EA56AA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6757F"/>
    <w:multiLevelType w:val="hybridMultilevel"/>
    <w:tmpl w:val="7832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778BF"/>
    <w:multiLevelType w:val="hybridMultilevel"/>
    <w:tmpl w:val="1C506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23"/>
    <w:rsid w:val="000161D0"/>
    <w:rsid w:val="00062727"/>
    <w:rsid w:val="00074372"/>
    <w:rsid w:val="000A7B58"/>
    <w:rsid w:val="000C68E6"/>
    <w:rsid w:val="000D0EF1"/>
    <w:rsid w:val="00103596"/>
    <w:rsid w:val="00141861"/>
    <w:rsid w:val="00156F96"/>
    <w:rsid w:val="00164A97"/>
    <w:rsid w:val="001A352E"/>
    <w:rsid w:val="001C61FC"/>
    <w:rsid w:val="001D59E5"/>
    <w:rsid w:val="001F339D"/>
    <w:rsid w:val="0020688B"/>
    <w:rsid w:val="002246CC"/>
    <w:rsid w:val="00233555"/>
    <w:rsid w:val="0024693C"/>
    <w:rsid w:val="00294D63"/>
    <w:rsid w:val="002A5A82"/>
    <w:rsid w:val="002B2844"/>
    <w:rsid w:val="002F2D7A"/>
    <w:rsid w:val="003069C7"/>
    <w:rsid w:val="0031377B"/>
    <w:rsid w:val="00314570"/>
    <w:rsid w:val="00324336"/>
    <w:rsid w:val="003255BC"/>
    <w:rsid w:val="00333873"/>
    <w:rsid w:val="00333F88"/>
    <w:rsid w:val="003537E4"/>
    <w:rsid w:val="00372118"/>
    <w:rsid w:val="00376304"/>
    <w:rsid w:val="003C5353"/>
    <w:rsid w:val="004614FB"/>
    <w:rsid w:val="00466EB1"/>
    <w:rsid w:val="004727E3"/>
    <w:rsid w:val="00486AA2"/>
    <w:rsid w:val="004C26A8"/>
    <w:rsid w:val="004F30D9"/>
    <w:rsid w:val="00533404"/>
    <w:rsid w:val="00567B27"/>
    <w:rsid w:val="005739F5"/>
    <w:rsid w:val="00594E25"/>
    <w:rsid w:val="0059746D"/>
    <w:rsid w:val="005B02C0"/>
    <w:rsid w:val="005C7F99"/>
    <w:rsid w:val="005E22CB"/>
    <w:rsid w:val="005F0899"/>
    <w:rsid w:val="00644323"/>
    <w:rsid w:val="00656D77"/>
    <w:rsid w:val="006736BF"/>
    <w:rsid w:val="0069019B"/>
    <w:rsid w:val="006B19A2"/>
    <w:rsid w:val="00717D31"/>
    <w:rsid w:val="00723E19"/>
    <w:rsid w:val="00724B37"/>
    <w:rsid w:val="007C0C3B"/>
    <w:rsid w:val="008A1830"/>
    <w:rsid w:val="009334F4"/>
    <w:rsid w:val="00935224"/>
    <w:rsid w:val="009800DB"/>
    <w:rsid w:val="009B55D9"/>
    <w:rsid w:val="009C3329"/>
    <w:rsid w:val="009D5BE9"/>
    <w:rsid w:val="009E2F99"/>
    <w:rsid w:val="00A560C1"/>
    <w:rsid w:val="00A735B2"/>
    <w:rsid w:val="00AB286E"/>
    <w:rsid w:val="00AB7215"/>
    <w:rsid w:val="00AC4458"/>
    <w:rsid w:val="00AE0FE5"/>
    <w:rsid w:val="00B05C88"/>
    <w:rsid w:val="00B17B11"/>
    <w:rsid w:val="00B42ABF"/>
    <w:rsid w:val="00B617C0"/>
    <w:rsid w:val="00C12BCF"/>
    <w:rsid w:val="00C30226"/>
    <w:rsid w:val="00C5000C"/>
    <w:rsid w:val="00C65FEC"/>
    <w:rsid w:val="00C6637F"/>
    <w:rsid w:val="00C84C9A"/>
    <w:rsid w:val="00CC468F"/>
    <w:rsid w:val="00CF2AF2"/>
    <w:rsid w:val="00D11D13"/>
    <w:rsid w:val="00D148A5"/>
    <w:rsid w:val="00D373C2"/>
    <w:rsid w:val="00D37FC2"/>
    <w:rsid w:val="00D726A3"/>
    <w:rsid w:val="00E128F4"/>
    <w:rsid w:val="00E30E87"/>
    <w:rsid w:val="00E43898"/>
    <w:rsid w:val="00EA74A5"/>
    <w:rsid w:val="00EB35EF"/>
    <w:rsid w:val="00EB6C1D"/>
    <w:rsid w:val="00EC7D6D"/>
    <w:rsid w:val="00EE185B"/>
    <w:rsid w:val="00EF3064"/>
    <w:rsid w:val="00EF317B"/>
    <w:rsid w:val="00EF6A0F"/>
    <w:rsid w:val="00F35B67"/>
    <w:rsid w:val="00F425A6"/>
    <w:rsid w:val="00F82935"/>
    <w:rsid w:val="00FC02F1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BAAC6"/>
  <w15:docId w15:val="{CCB1ACB7-3FC3-4236-9C03-07F69B63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899"/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0899"/>
    <w:pPr>
      <w:spacing w:after="0" w:line="240" w:lineRule="auto"/>
      <w:jc w:val="right"/>
    </w:pPr>
    <w:rPr>
      <w:sz w:val="16"/>
      <w:szCs w:val="16"/>
      <w:lang w:val="da-DK"/>
    </w:rPr>
  </w:style>
  <w:style w:type="character" w:customStyle="1" w:styleId="FooterChar">
    <w:name w:val="Footer Char"/>
    <w:basedOn w:val="DefaultParagraphFont"/>
    <w:link w:val="Footer"/>
    <w:uiPriority w:val="99"/>
    <w:rsid w:val="005F0899"/>
    <w:rPr>
      <w:rFonts w:ascii="Open Sans" w:hAnsi="Open Sans"/>
      <w:sz w:val="16"/>
      <w:szCs w:val="16"/>
      <w:lang w:val="da-DK"/>
    </w:rPr>
  </w:style>
  <w:style w:type="paragraph" w:styleId="Title">
    <w:name w:val="Title"/>
    <w:basedOn w:val="Normal"/>
    <w:next w:val="Normal"/>
    <w:link w:val="TitleChar"/>
    <w:uiPriority w:val="10"/>
    <w:qFormat/>
    <w:rsid w:val="00EF6A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F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6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5A8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E18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458"/>
    <w:rPr>
      <w:rFonts w:ascii="Open Sans" w:hAnsi="Open Sans"/>
      <w:sz w:val="20"/>
    </w:rPr>
  </w:style>
  <w:style w:type="paragraph" w:styleId="ListParagraph">
    <w:name w:val="List Paragraph"/>
    <w:basedOn w:val="Normal"/>
    <w:uiPriority w:val="34"/>
    <w:rsid w:val="004614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6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8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8E6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8E6"/>
    <w:rPr>
      <w:rFonts w:ascii="Open Sans" w:hAnsi="Open Sa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7F99"/>
    <w:pPr>
      <w:spacing w:after="0" w:line="240" w:lineRule="auto"/>
    </w:pPr>
    <w:rPr>
      <w:rFonts w:ascii="Open Sans" w:hAnsi="Ope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ea.europa.eu/" TargetMode="External"/><Relationship Id="rId1" Type="http://schemas.openxmlformats.org/officeDocument/2006/relationships/hyperlink" Target="http://www.eea.europa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0F44-DF06-4610-AA19-92C0D886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Martin-Montalvo Alvarez</dc:creator>
  <cp:lastModifiedBy>Federico Antognazza</cp:lastModifiedBy>
  <cp:revision>3</cp:revision>
  <dcterms:created xsi:type="dcterms:W3CDTF">2020-09-22T16:39:00Z</dcterms:created>
  <dcterms:modified xsi:type="dcterms:W3CDTF">2020-09-24T10:24:00Z</dcterms:modified>
</cp:coreProperties>
</file>